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a1cb" w14:textId="c6ea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декларациялаудың, тауарлар санатының, Қазақстан Республикасында жүргізілетін тауарлардың сыртқы электрондық саудасы саласындағы экспериментті іске асырушы өңірдің және электрондық сауда тауарларына қатысты техникалық регламенттерді сақтаудың хабарламалық тәртібін қолдану ерекшеліктерін айқындау туралы" Қазақстан Республикасы Премьер-Министрінің орынбасары – Қаржы министрінің 2023 жылғы 4 шiлдедегi № 739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2024 жылғы 6 тамыздағы № 517 бұйрығы. Қазақстан Республикасының Әділет министрлігінде 2024 жылғы 9 тамызда № 34917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"Кедендік декларациялаудың, тауарлар санатының, Қазақстан Республикасында жүргізілетін тауарлардың сыртқы электрондық саудасы саласындағы экспериментті іске асырушы өңірдің және электрондық сауда тауарларына қатысты техникалық регламенттерді сақтаудың хабарламалық тәртібін қолдану ерекшеліктерін айқындау туралы" Қазақстан Республикасы Премьер-Министрінің орынбасары – Қаржы министрінің 2023 жылғы 4 шiлдедегi № 739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33082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Кедендік декларациялаудың, тауарлар санатының, Қазақстан Республикасында жүргізілетін тауарлардың сыртқы электрондық саудасы саласындағы экспериментті іске асырушы өңірдің және электрондық сауда тауарларына қатысты техникалық регламенттерді сақтаудың хабарламалық тәртібін қолдану </w:t>
      </w:r>
      <w:r>
        <w:rPr>
          <w:rFonts w:ascii="Times New Roman"/>
          <w:b w:val="false"/>
          <w:i w:val="false"/>
          <w:color w:val="000000"/>
          <w:sz w:val="28"/>
        </w:rPr>
        <w:t>ерекшеліктерде</w:t>
      </w:r>
      <w:r>
        <w:rPr>
          <w:rFonts w:ascii="Times New Roman"/>
          <w:b w:val="false"/>
          <w:i w:val="false"/>
          <w:color w:val="000000"/>
          <w:sz w:val="28"/>
        </w:rPr>
        <w:t xml:space="preserve"> (бұдан әрі – Ерекшеліктер):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"15. Эксперимент Астана, Алматы қалалары бойынша мемлекеттік кірістер департаменттерінің және Ақтөбе, Алматы және Жетісу облысы бойынша мемлекеттік кірістер департаментінің қызмет аймағында іске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"41. Жеке тұлғалар сатып алған электрондық сауда тауарларына қатысты өзге электрондық құжатты толтыруды электрондық сауда операторы мынадай ерекшеліктерді сақтай отырып жүргізеді:</w:t>
      </w:r>
    </w:p>
    <w:bookmarkEnd w:id="3"/>
    <w:p>
      <w:pPr>
        <w:spacing w:after="0"/>
        <w:ind w:left="0"/>
        <w:jc w:val="both"/>
      </w:pPr>
      <w:r>
        <w:rPr>
          <w:rFonts w:ascii="Times New Roman"/>
          <w:b w:val="false"/>
          <w:i w:val="false"/>
          <w:color w:val="000000"/>
          <w:sz w:val="28"/>
        </w:rPr>
        <w:t>
      1) тауарлар туралы мәліметтер тізілімінің тіркеу нөмірі мынадай түрде қалыптастырылады:</w:t>
      </w:r>
    </w:p>
    <w:p>
      <w:pPr>
        <w:spacing w:after="0"/>
        <w:ind w:left="0"/>
        <w:jc w:val="both"/>
      </w:pPr>
      <w:r>
        <w:rPr>
          <w:rFonts w:ascii="Times New Roman"/>
          <w:b w:val="false"/>
          <w:i w:val="false"/>
          <w:color w:val="000000"/>
          <w:sz w:val="28"/>
        </w:rPr>
        <w:t>
      1-элемент – кеден органының коды;</w:t>
      </w:r>
    </w:p>
    <w:p>
      <w:pPr>
        <w:spacing w:after="0"/>
        <w:ind w:left="0"/>
        <w:jc w:val="both"/>
      </w:pPr>
      <w:r>
        <w:rPr>
          <w:rFonts w:ascii="Times New Roman"/>
          <w:b w:val="false"/>
          <w:i w:val="false"/>
          <w:color w:val="000000"/>
          <w:sz w:val="28"/>
        </w:rPr>
        <w:t>
      2-элемент – ХПЖ тізілімін тіркеу күні (күні, айы, жылдың соңғы екі цифры);</w:t>
      </w:r>
    </w:p>
    <w:p>
      <w:pPr>
        <w:spacing w:after="0"/>
        <w:ind w:left="0"/>
        <w:jc w:val="both"/>
      </w:pPr>
      <w:r>
        <w:rPr>
          <w:rFonts w:ascii="Times New Roman"/>
          <w:b w:val="false"/>
          <w:i w:val="false"/>
          <w:color w:val="000000"/>
          <w:sz w:val="28"/>
        </w:rPr>
        <w:t xml:space="preserve">
      3-элемент – күнтізбелік жыл шеңберіндегі өтпелі нөмірлеу бойынша реттік нөмір; </w:t>
      </w:r>
    </w:p>
    <w:p>
      <w:pPr>
        <w:spacing w:after="0"/>
        <w:ind w:left="0"/>
        <w:jc w:val="both"/>
      </w:pPr>
      <w:r>
        <w:rPr>
          <w:rFonts w:ascii="Times New Roman"/>
          <w:b w:val="false"/>
          <w:i w:val="false"/>
          <w:color w:val="000000"/>
          <w:sz w:val="28"/>
        </w:rPr>
        <w:t>
      2) "жеке жүкқұжат немесе ДПО құжаты" деген бағанда жеке жүкқұжат немесе ХПЖ бірегей нөмірі (әрбір ХПЖ қолданылатын ДПО техникалық стандарттар жинағының S10 стандартына сәйкес келетін жазбаша хат-хабарлар мен сәлемдемелердің бірегей 13 таңбалы әріптік-цифрлық сәйкестендіргіші) туралы мәліметтер толтырылады;</w:t>
      </w:r>
    </w:p>
    <w:p>
      <w:pPr>
        <w:spacing w:after="0"/>
        <w:ind w:left="0"/>
        <w:jc w:val="both"/>
      </w:pPr>
      <w:r>
        <w:rPr>
          <w:rFonts w:ascii="Times New Roman"/>
          <w:b w:val="false"/>
          <w:i w:val="false"/>
          <w:color w:val="000000"/>
          <w:sz w:val="28"/>
        </w:rPr>
        <w:t xml:space="preserve">
      3) "Жөнелтуші (жөнелтуші ел, ұйымның атауы, жөнелтушінің мекенжайы)" деген бағанда ДПО актілерінде көзделген жеке жүкқұжатта немесе құжаттарда және ілесіп жүретін ХПЖ-да көрсетілген жөнелтуші туралы мәліметтер толтырылады; </w:t>
      </w:r>
    </w:p>
    <w:p>
      <w:pPr>
        <w:spacing w:after="0"/>
        <w:ind w:left="0"/>
        <w:jc w:val="both"/>
      </w:pPr>
      <w:r>
        <w:rPr>
          <w:rFonts w:ascii="Times New Roman"/>
          <w:b w:val="false"/>
          <w:i w:val="false"/>
          <w:color w:val="000000"/>
          <w:sz w:val="28"/>
        </w:rPr>
        <w:t>
      4) "Тауарларды алушының тегі, аты, әкесінің аты (ол болған жағдайда)" деген бағанда ДПО актілерінде көзделген жеке жүкқұжатта немесе құжаттарда және ілесіп жүретін ХПЖ-да көрсетілген электрондық сауда тауарын алушысы туралы мәліметтер, жеке басын куәландыратын құжат туралы мәліметтер немесе тауарды алушының жеке сәйкестендіру нөмірі болған кезде, толтырылады; тегін, атын, әкесінің атын толтыруға жол беріледі (ол болған жағдайда) ДПО құжатына сәйкес латын әліпбиінің әріптерін пайдалана отырып (жеке тұлғаның жеке сәйкестендіру нөмірін көрсеткен кезде). Мемлекеттік кірістер органдары мен электрондық сауда операторының ақпараттық жүйелерін интеграциялау арқылы тауарды алушының жеке басын куәландыратын құжаты немесе жеке сәйкестендіру нөмірі туралы мәліметтер болмаған кезде;</w:t>
      </w:r>
    </w:p>
    <w:p>
      <w:pPr>
        <w:spacing w:after="0"/>
        <w:ind w:left="0"/>
        <w:jc w:val="both"/>
      </w:pPr>
      <w:r>
        <w:rPr>
          <w:rFonts w:ascii="Times New Roman"/>
          <w:b w:val="false"/>
          <w:i w:val="false"/>
          <w:color w:val="000000"/>
          <w:sz w:val="28"/>
        </w:rPr>
        <w:t xml:space="preserve">
      5) "Тауарларды алушы жеке тұлғаның мекенжайы" деген бағанда жеке тұлғаның тұрғылықты жері немесе ДПО актілерінде көзделген жеке жүкқұжатта немесе құжаттарда және ілесіп жүретін ХПЖ-да көрсетілген тауарларды жеткізу мекенжайы толтырылады; </w:t>
      </w:r>
    </w:p>
    <w:p>
      <w:pPr>
        <w:spacing w:after="0"/>
        <w:ind w:left="0"/>
        <w:jc w:val="both"/>
      </w:pPr>
      <w:r>
        <w:rPr>
          <w:rFonts w:ascii="Times New Roman"/>
          <w:b w:val="false"/>
          <w:i w:val="false"/>
          <w:color w:val="000000"/>
          <w:sz w:val="28"/>
        </w:rPr>
        <w:t xml:space="preserve">
      6) "Тауардың атауы" деген бағанда ДПО актілерінде көзделген жеке жүкқұжатта немесе құжаттарда және ілесіп жүретін ХПЖ-да көрсетілген тауардың атауы толтырылады. Латын әліпбиінің әріптерін пайдалана отырып тауар атауын толтыруға жол беріледі; </w:t>
      </w:r>
    </w:p>
    <w:p>
      <w:pPr>
        <w:spacing w:after="0"/>
        <w:ind w:left="0"/>
        <w:jc w:val="both"/>
      </w:pPr>
      <w:r>
        <w:rPr>
          <w:rFonts w:ascii="Times New Roman"/>
          <w:b w:val="false"/>
          <w:i w:val="false"/>
          <w:color w:val="000000"/>
          <w:sz w:val="28"/>
        </w:rPr>
        <w:t>
      7) "ЕАЭО СЭҚ ТН бойынша тауар коды" деген бағанда Еуразиялық экономикалық одақтың Сыртқы экономикалық қызметінің бірыңғай тауар номенклатурасына сәйкес тауар коды кемінде алғашқы 6 белгі (болған кезде) деңгейінде толтырылады. Электрондық сауда операторында СЭҚ ТН коды туралы мәліметтер болмаған жағдайда 000 000 көрсетуге жол беріледі.</w:t>
      </w:r>
    </w:p>
    <w:p>
      <w:pPr>
        <w:spacing w:after="0"/>
        <w:ind w:left="0"/>
        <w:jc w:val="both"/>
      </w:pPr>
      <w:r>
        <w:rPr>
          <w:rFonts w:ascii="Times New Roman"/>
          <w:b w:val="false"/>
          <w:i w:val="false"/>
          <w:color w:val="000000"/>
          <w:sz w:val="28"/>
        </w:rPr>
        <w:t xml:space="preserve">
      8) "Тауар саны" деген бағанда өлшем бірліктеріндегі тауар саны толтырылады; </w:t>
      </w:r>
    </w:p>
    <w:p>
      <w:pPr>
        <w:spacing w:after="0"/>
        <w:ind w:left="0"/>
        <w:jc w:val="both"/>
      </w:pPr>
      <w:r>
        <w:rPr>
          <w:rFonts w:ascii="Times New Roman"/>
          <w:b w:val="false"/>
          <w:i w:val="false"/>
          <w:color w:val="000000"/>
          <w:sz w:val="28"/>
        </w:rPr>
        <w:t xml:space="preserve">
      9) "Брутто салмағы, кг" деген бағанда ДПО актілерінде көзделген жеке жүкқұжатта немесе құжаттарда және ілесіп жүретін ХПЖ-да көрсетілген тауарлардың жалпы брутто массасы толтырылады; </w:t>
      </w:r>
    </w:p>
    <w:p>
      <w:pPr>
        <w:spacing w:after="0"/>
        <w:ind w:left="0"/>
        <w:jc w:val="both"/>
      </w:pPr>
      <w:r>
        <w:rPr>
          <w:rFonts w:ascii="Times New Roman"/>
          <w:b w:val="false"/>
          <w:i w:val="false"/>
          <w:color w:val="000000"/>
          <w:sz w:val="28"/>
        </w:rPr>
        <w:t xml:space="preserve">
      10) "Құны" деген бағанда тауардың құны коммерциялық құжаттарға немесе ДПО құжаттарына сәйкес цифрлармен толтырылады; </w:t>
      </w:r>
    </w:p>
    <w:p>
      <w:pPr>
        <w:spacing w:after="0"/>
        <w:ind w:left="0"/>
        <w:jc w:val="both"/>
      </w:pPr>
      <w:r>
        <w:rPr>
          <w:rFonts w:ascii="Times New Roman"/>
          <w:b w:val="false"/>
          <w:i w:val="false"/>
          <w:color w:val="000000"/>
          <w:sz w:val="28"/>
        </w:rPr>
        <w:t>
      11) "Валюта" деген бағанда валюта сыныптауышына сәйкес валютаның әріптік коды толтырылады.";</w:t>
      </w:r>
    </w:p>
    <w:bookmarkStart w:name="z8" w:id="4"/>
    <w:p>
      <w:pPr>
        <w:spacing w:after="0"/>
        <w:ind w:left="0"/>
        <w:jc w:val="both"/>
      </w:pPr>
      <w:r>
        <w:rPr>
          <w:rFonts w:ascii="Times New Roman"/>
          <w:b w:val="false"/>
          <w:i w:val="false"/>
          <w:color w:val="000000"/>
          <w:sz w:val="28"/>
        </w:rPr>
        <w:t xml:space="preserve">
      көрсетілген Ерекшеліктерге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2024 жылғы 6 тамыздағы </w:t>
            </w:r>
            <w:r>
              <w:br/>
            </w:r>
            <w:r>
              <w:rPr>
                <w:rFonts w:ascii="Times New Roman"/>
                <w:b w:val="false"/>
                <w:i w:val="false"/>
                <w:color w:val="000000"/>
                <w:sz w:val="20"/>
              </w:rPr>
              <w:t xml:space="preserve">№ 517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декларациялаудың,</w:t>
            </w:r>
            <w:r>
              <w:br/>
            </w:r>
            <w:r>
              <w:rPr>
                <w:rFonts w:ascii="Times New Roman"/>
                <w:b w:val="false"/>
                <w:i w:val="false"/>
                <w:color w:val="000000"/>
                <w:sz w:val="20"/>
              </w:rPr>
              <w:t xml:space="preserve">тауарлар санатының,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жүргізілетін тауарлардың </w:t>
            </w:r>
            <w:r>
              <w:br/>
            </w:r>
            <w:r>
              <w:rPr>
                <w:rFonts w:ascii="Times New Roman"/>
                <w:b w:val="false"/>
                <w:i w:val="false"/>
                <w:color w:val="000000"/>
                <w:sz w:val="20"/>
              </w:rPr>
              <w:t xml:space="preserve">сыртқы электрондық саудасы </w:t>
            </w:r>
            <w:r>
              <w:br/>
            </w:r>
            <w:r>
              <w:rPr>
                <w:rFonts w:ascii="Times New Roman"/>
                <w:b w:val="false"/>
                <w:i w:val="false"/>
                <w:color w:val="000000"/>
                <w:sz w:val="20"/>
              </w:rPr>
              <w:t>саласындағы экспериментті</w:t>
            </w:r>
            <w:r>
              <w:br/>
            </w:r>
            <w:r>
              <w:rPr>
                <w:rFonts w:ascii="Times New Roman"/>
                <w:b w:val="false"/>
                <w:i w:val="false"/>
                <w:color w:val="000000"/>
                <w:sz w:val="20"/>
              </w:rPr>
              <w:t>іске асырушы өңірдің және</w:t>
            </w:r>
            <w:r>
              <w:br/>
            </w:r>
            <w:r>
              <w:rPr>
                <w:rFonts w:ascii="Times New Roman"/>
                <w:b w:val="false"/>
                <w:i w:val="false"/>
                <w:color w:val="000000"/>
                <w:sz w:val="20"/>
              </w:rPr>
              <w:t>электрондық сауда тауарларына</w:t>
            </w:r>
            <w:r>
              <w:br/>
            </w:r>
            <w:r>
              <w:rPr>
                <w:rFonts w:ascii="Times New Roman"/>
                <w:b w:val="false"/>
                <w:i w:val="false"/>
                <w:color w:val="000000"/>
                <w:sz w:val="20"/>
              </w:rPr>
              <w:t xml:space="preserve">қатысты техникалық </w:t>
            </w:r>
            <w:r>
              <w:br/>
            </w:r>
            <w:r>
              <w:rPr>
                <w:rFonts w:ascii="Times New Roman"/>
                <w:b w:val="false"/>
                <w:i w:val="false"/>
                <w:color w:val="000000"/>
                <w:sz w:val="20"/>
              </w:rPr>
              <w:t xml:space="preserve">регламенттерді сақтаудың </w:t>
            </w:r>
            <w:r>
              <w:br/>
            </w:r>
            <w:r>
              <w:rPr>
                <w:rFonts w:ascii="Times New Roman"/>
                <w:b w:val="false"/>
                <w:i w:val="false"/>
                <w:color w:val="000000"/>
                <w:sz w:val="20"/>
              </w:rPr>
              <w:t>хабарламалық тәртібін</w:t>
            </w:r>
            <w:r>
              <w:br/>
            </w:r>
            <w:r>
              <w:rPr>
                <w:rFonts w:ascii="Times New Roman"/>
                <w:b w:val="false"/>
                <w:i w:val="false"/>
                <w:color w:val="000000"/>
                <w:sz w:val="20"/>
              </w:rPr>
              <w:t>қолдану ерекшеліктеріне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0"/>
    <w:p>
      <w:pPr>
        <w:spacing w:after="0"/>
        <w:ind w:left="0"/>
        <w:jc w:val="left"/>
      </w:pPr>
      <w:r>
        <w:rPr>
          <w:rFonts w:ascii="Times New Roman"/>
          <w:b/>
          <w:i w:val="false"/>
          <w:color w:val="000000"/>
        </w:rPr>
        <w:t xml:space="preserve"> Жеке тұлғалар сатып алған электрондық сауда тауарларын кедендік декларациялау үшін кедендік декларациямен пилоттық жоба (эксперимент) шеңберінде танылатын электрондық сауда операторлары пайдаланатын өзге де электрондық құжат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немесе ДПО құжаты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жөнелтілімдер, ұйымның атауы, жөнелтушінің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алушының тегі, аты, әкесінің аты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алушы – жеке тұлғаның мекен 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 w:id="11"/>
    <w:p>
      <w:pPr>
        <w:spacing w:after="0"/>
        <w:ind w:left="0"/>
        <w:jc w:val="both"/>
      </w:pPr>
      <w:r>
        <w:rPr>
          <w:rFonts w:ascii="Times New Roman"/>
          <w:b w:val="false"/>
          <w:i w:val="false"/>
          <w:color w:val="000000"/>
          <w:sz w:val="28"/>
        </w:rPr>
        <w:t>
      Аббревиатураларды ашып жазу және қысқарту:</w:t>
      </w:r>
    </w:p>
    <w:bookmarkEnd w:id="11"/>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ДПО – Дүниежүзілік пошта одағы;</w:t>
      </w:r>
    </w:p>
    <w:p>
      <w:pPr>
        <w:spacing w:after="0"/>
        <w:ind w:left="0"/>
        <w:jc w:val="both"/>
      </w:pPr>
      <w:r>
        <w:rPr>
          <w:rFonts w:ascii="Times New Roman"/>
          <w:b w:val="false"/>
          <w:i w:val="false"/>
          <w:color w:val="000000"/>
          <w:sz w:val="28"/>
        </w:rPr>
        <w:t>
      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