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a18a" w14:textId="0b9a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ақпараттандыру объектілерін құруға және дамытуға арналған техникалық тапсырмаларды жасау және қарау қағидаларын бекіту туралы" Қазақстан Республикасының Цифрлық даму, инновациялар және аэроғарыш өнеркәсібі министрінің 2019 жылғы 29 маусымдағы № 143/НҚ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28 тамыздағы № 521/НҚ бұйрығы. Қазақстан Республикасының Әділет министрлігінде 2024 жылғы 28 тамызда № 34989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үкіметтің" ақпараттандыру объектілерін құруға және дамытуға арналған техникалық тапсырмаларды жасау және қарау қағидаларын бекіту туралы" Қазақстан Республикасы Цифрлық даму, инновациялар және аэроғарыш өнеркәсібі министрінің 2019 жылғы 29 маусымдағы № 143/НҚ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18950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2019 жылғы 12 шілдедегі № 501 қаулысымен бекітілген "Ақпараттандыру туралы" Қазақстан Республикасы Заңының 39-бабының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166)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үкіметтің" ақпараттандыру объектілерін құруға және дамытуға арналған техникалық тапсырмаларды жасау және қарау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"Электрондық үкіметтің" ақпараттандыру объектілерін құруға және дамытуға арналған техникалық тапсырмаларды жасау және қарау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"Ақпараттандыру туралы" Қазақстан Республикасы Заңының (бұдан әрі – Заң) 39-бабының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166)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"электрондық үкіметтің" ақпараттандыру объектілерін құруға және дамытуға арналған техникалық тапсырмаларды (бұдан әрі – техникалық тапсырма) жасау және қарау тәртібін айқындайды";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"Электрондық үкіметтің" ақпараттандыру объектілерін құру және дамыту техникалық тапсырмаға сәйкес жүзеге асырылады.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тапсырманы жасауды әкімші және (немесе) ақпараттандыру объектісінің иеленушісі дербес немесе оны әзірлеу жөніндегі қызметтерді сатып алу жолымен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тапсырманы жасау мыналарға: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"Ақпараттық технология. Автоматтандырылған жүйелерге арналған стандарттар кешені. Автоматтандырылған жүйелерді құруға арналған техникалық тапсырма" Қазақстан Республикасының СТ 34.015-2002 ұлттық стандартына;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бекітілген қаржылық-экономикалық негіздемеге, инвестициялық ұсынысқа, бюджеттік инвестициялық жобалардың инвестициялық ұсыныс жобасына;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"электрондық үкіметтің" архитектурасына;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Заңның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бекітілетін ақпараттық-коммуникациялық технологиялар мен ақпараттық қауіпсіздікті қамтамасыз ету саласындағы бірыңғай талаптарға сәйкес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Сервистік интегратор "электрондық үкіметтің" архитектурасына сәйкестігіне және "электрондық үкіметтің" ақпараттандыру объектілерін құру және дамыту кезінде бірнеше рет пайдалануға жататын стандартты шешімдерді пайдалану мүмкіндігінің болуына техникалық тапсырмаға сараптама жүргізеді.".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Салаларды цифрландыру департаменті заңнамада белгіленген тәртіппен: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бұйрықтың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