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320a" w14:textId="3833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29 тамыздағы № 594 бұйрығы. Қазақстан Республикасының Әділет министрлігінде 2024 жылғы 2 қыркүйекте № 35016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"429.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бес жұмыс күннен кешіктірмей қазақ және орыс тілдерінде орналастырады және онда мынадай ақпарат болады:</w:t>
      </w:r>
    </w:p>
    <w:bookmarkEnd w:id="3"/>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