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cc62" w14:textId="f36c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қыркүйектегі № 77 қаулысы. Қазақстан Республикасының Әділет министрлігінде 2024 жылғы 27 қыркүйекте № 35148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Банктік және микроқаржылық қызметті реттеу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2024 жылғы 1 желтоқсаннан бастап қолданысқа енгізілетін Тізбенің </w:t>
      </w:r>
      <w:r>
        <w:rPr>
          <w:rFonts w:ascii="Times New Roman"/>
          <w:b w:val="false"/>
          <w:i w:val="false"/>
          <w:color w:val="000000"/>
          <w:sz w:val="28"/>
        </w:rPr>
        <w:t>1-тармағын</w:t>
      </w:r>
      <w:r>
        <w:rPr>
          <w:rFonts w:ascii="Times New Roman"/>
          <w:b w:val="false"/>
          <w:i w:val="false"/>
          <w:color w:val="000000"/>
          <w:sz w:val="28"/>
        </w:rPr>
        <w:t xml:space="preserve"> қоспағанда,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он үшінші, он төртінші, он төртінші, он бесінші, он алтыншы, он жетінші, он жетінші, он сегізінші, он тоғызыншы, жиырмасыншы, жиырма бірінші, жиырма екінші, жиырма төртінші, жиырма бесінші, жиырма алтыншы, жиырма жетінші, жиырма сегізінші, жиырма тоғызыншы, отызыншы, отыз бірінші абзацтары 2025 жылғы 1 қаңтарға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2025 жылғы 1 қаңтардан бастап Тізбенің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он үшінші, он төртінші,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тармақтары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 - заңды тұлға мынадай деректерді (сканерленген түрдегі құжаттарды)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туралы шартқа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клиент - заңды тұлғаның бизнес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клиент - заңды тұлғаның ұялы байланыс құрылғысының абоненттік нөмірі;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аяда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клиенттің тіркелгенін растау үшін мыналар ұсынған төмендегідей деректерді салыстырып-тексеруді жүзеге асырады:</w:t>
      </w:r>
    </w:p>
    <w:p>
      <w:pPr>
        <w:spacing w:after="0"/>
        <w:ind w:left="0"/>
        <w:jc w:val="both"/>
      </w:pPr>
      <w:r>
        <w:rPr>
          <w:rFonts w:ascii="Times New Roman"/>
          <w:b w:val="false"/>
          <w:i w:val="false"/>
          <w:color w:val="000000"/>
          <w:sz w:val="28"/>
        </w:rPr>
        <w:t>
      клиент - жеке тұлға: клиенттің тегі, аты, әкесінің аты (ол бар болса), жеке сәйкестендіру нөмірі және фотосуреті;</w:t>
      </w:r>
    </w:p>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туу туралы куәлігін қоспағанда, жеке басын куәландыратын құжатта көрсетілген тұлғаның тегі, аты, әкесінің аты (ол бар болса) және фотосуреті.</w:t>
      </w:r>
    </w:p>
    <w:p>
      <w:pPr>
        <w:spacing w:after="0"/>
        <w:ind w:left="0"/>
        <w:jc w:val="both"/>
      </w:pPr>
      <w:r>
        <w:rPr>
          <w:rFonts w:ascii="Times New Roman"/>
          <w:b w:val="false"/>
          <w:i w:val="false"/>
          <w:color w:val="000000"/>
          <w:sz w:val="28"/>
        </w:rPr>
        <w:t>
      Клиентті жеке кабинетте тіркеу кезінде СДАО қызметтерін пайдалану арқылы немесе микроқаржылық қызметті жүзеге асыратын ұйымның құрылғылары арқылы алынған биометриялық деректер бойынша биометриялық сәйкестендіру немесе клиенттің Қазақстан Республикасының аккредиттелген куәландыру орталығы берген электрондық цифрлық қолтаңбасы қолданылады.</w:t>
      </w:r>
    </w:p>
    <w:p>
      <w:pPr>
        <w:spacing w:after="0"/>
        <w:ind w:left="0"/>
        <w:jc w:val="both"/>
      </w:pPr>
      <w:r>
        <w:rPr>
          <w:rFonts w:ascii="Times New Roman"/>
          <w:b w:val="false"/>
          <w:i w:val="false"/>
          <w:color w:val="000000"/>
          <w:sz w:val="28"/>
        </w:rPr>
        <w:t>
      Дара кәсіпкер ретінде тіркелген клиент - жеке тұлғаны тіркеу кезінде электрондық цифрлық қолтаңбаны қолдану талап етілмейді.</w:t>
      </w:r>
    </w:p>
    <w:p>
      <w:pPr>
        <w:spacing w:after="0"/>
        <w:ind w:left="0"/>
        <w:jc w:val="both"/>
      </w:pPr>
      <w:r>
        <w:rPr>
          <w:rFonts w:ascii="Times New Roman"/>
          <w:b w:val="false"/>
          <w:i w:val="false"/>
          <w:color w:val="000000"/>
          <w:sz w:val="28"/>
        </w:rPr>
        <w:t>
      Клиентті жеке кабинетке тіркегеннен кейін клиенттің жеке кабинетке кейіннен кіруі құпиясөздерді ойлап табу және (немесе) енгізу арқылы немесе бірдейлендіру белгілерінің (токендер, смарт-карталар, бір реттік құпиясөздер) кем дегенде біреуін пайдалану арқылы жүзеге асырылады.</w:t>
      </w:r>
    </w:p>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немесе банк шотының деректемелеріне (микрокредиттерді терминалдар арқылы беруді қоспағанда) өзгерістер енгізу клиенттің жеке кабинетінде СДАО қызметтерін пайдалану арқылы биометриялық сәйкестендіруді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p>
      <w:pPr>
        <w:spacing w:after="0"/>
        <w:ind w:left="0"/>
        <w:jc w:val="both"/>
      </w:pPr>
      <w:r>
        <w:rPr>
          <w:rFonts w:ascii="Times New Roman"/>
          <w:b w:val="false"/>
          <w:i w:val="false"/>
          <w:color w:val="000000"/>
          <w:sz w:val="28"/>
        </w:rPr>
        <w:t>
      Жеке кабинетте клиенттің жеке сәйкестендіру нөмірі немесе бизнес-сәйкестендіру нөмірі туралы деректер өзгертілмейді.";</w:t>
      </w:r>
    </w:p>
    <w:bookmarkStart w:name="z12" w:id="3"/>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bookmarkEnd w:id="3"/>
    <w:p>
      <w:pPr>
        <w:spacing w:after="0"/>
        <w:ind w:left="0"/>
        <w:jc w:val="both"/>
      </w:pPr>
      <w:r>
        <w:rPr>
          <w:rFonts w:ascii="Times New Roman"/>
          <w:b w:val="false"/>
          <w:i w:val="false"/>
          <w:color w:val="000000"/>
          <w:sz w:val="28"/>
        </w:rPr>
        <w:t>
      Дара кәсіпкер ретінде тіркелген жеке тұлға-клиентпен кәсіпкерлік қызметті жүзеге асырумен байланысты микрокредит беру туралы шарттар жасасқан кезде, сондай-ақ оған өзгерістер мен толықтырулар енгізген кезде электрондық цифрлық қолтаңбаны қолдану талап етілмейді</w:t>
      </w:r>
    </w:p>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 шотынан клиенттің банктік шотына (төлем карточкасына) ақша аудару жолымен, сондай-ақ клиентке терминал немесе касса арқылы қолма-қол ақшаны беру және (немесе) микроқаржылық қызметті жүзеге асыратын ұйымда қарыз алушы сатып алатын тауарға немесе орындаған жұмыстарға, көрсетілетін қызметтерге ақы төлеуді көздейтін шарт жасалған заңды тұлғаның банк шотына микрокредитті қарыз алушының өтініші бойынша аудару арқылы жүзеге асырылады.</w:t>
      </w:r>
    </w:p>
    <w:p>
      <w:pPr>
        <w:spacing w:after="0"/>
        <w:ind w:left="0"/>
        <w:jc w:val="both"/>
      </w:pPr>
      <w:r>
        <w:rPr>
          <w:rFonts w:ascii="Times New Roman"/>
          <w:b w:val="false"/>
          <w:i w:val="false"/>
          <w:color w:val="000000"/>
          <w:sz w:val="28"/>
        </w:rPr>
        <w:t>
      Банк шотының немесе төлем картасының клиентке тиесілігін сәйкестендіру мүмкін болмаған жағдайда ақша аудару жүзеге асырылмайды.</w:t>
      </w:r>
    </w:p>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қызметтерге ақы төлеуді көздейтін шарт жасалған заңды тұлғаның банк шотына аудару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пайдалана отырып жүзеге асырылады.</w:t>
      </w:r>
    </w:p>
    <w:p>
      <w:pPr>
        <w:spacing w:after="0"/>
        <w:ind w:left="0"/>
        <w:jc w:val="both"/>
      </w:pPr>
      <w:r>
        <w:rPr>
          <w:rFonts w:ascii="Times New Roman"/>
          <w:b w:val="false"/>
          <w:i w:val="false"/>
          <w:color w:val="000000"/>
          <w:sz w:val="28"/>
        </w:rPr>
        <w:t>
      Қарыз алушыға касса арқылы микрокредит беру оның жеке басын куәландыратын құжатпен (туу туралы куәлікті қоспағанда) не цифрлық құжаттар сервисі арқылы алынған клиенттің жеке басын растайтын (сәйкестендіретін) деректермен қолма-қол ақша алатын клиентті көзбен шолып сәйкестендіру жүргізу, сондай-ақ клиент-заңды тұлғаға микрокредит берілген жағдайда, ақша алуға уәкілетті адамның өкілеттігін растайтын сенімхат беру арқылы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77 Қаулыға</w:t>
            </w:r>
            <w:r>
              <w:br/>
            </w: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Банктік және микроқаржылық қызметті реттеу мәселелері бойынша өзгерістер мен толықтырулар енгізілетін Қазақстан Республикасының нормативтік құқықтық актілерінің тізбесі </w:t>
      </w:r>
    </w:p>
    <w:bookmarkEnd w:id="4"/>
    <w:p>
      <w:pPr>
        <w:spacing w:after="0"/>
        <w:ind w:left="0"/>
        <w:jc w:val="left"/>
      </w:pPr>
    </w:p>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Банк қолданыстағы мөлшерлемелер мен тарифтерді бекіту және өзгерістер енгізу күндері туралы мәліметтерді, ішкі құжаттардың нөмірлерін және оларды бекіткен (қабылдаған) органды көрсете отырып, банктік қызметтер үшін мөлшерлемелер мен тарифтер, төлемдер және (немесе) ақша аударымдары бойынша тарифтер туралы өзекті ақпаратты филиалдарында (олардың үй-жайларында), филиалдар болмаған жағдайда – орталық офисінде (көру және танысу үшін қол жетімді жерде) және өзінің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 - заңды тұлға мынадай деректерді (сканерленген түрдегі құжаттарды)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туралы шартқа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клиент - заңды тұлғаның бизнес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клиент - заңды тұлғаның ұялы байланыс құрылғысының абоненттік нөмірі;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аяда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клиенттің тіркелгенін растау үшін мыналар ұсынған төмендегідей деректерді салыстырып-тексеруді жүзеге асырады:</w:t>
      </w:r>
    </w:p>
    <w:p>
      <w:pPr>
        <w:spacing w:after="0"/>
        <w:ind w:left="0"/>
        <w:jc w:val="both"/>
      </w:pPr>
      <w:r>
        <w:rPr>
          <w:rFonts w:ascii="Times New Roman"/>
          <w:b w:val="false"/>
          <w:i w:val="false"/>
          <w:color w:val="000000"/>
          <w:sz w:val="28"/>
        </w:rPr>
        <w:t>
      клиент - жеке тұлға: клиенттің тегі, аты, әкесінің аты (ол бар болса), жеке сәйкестендіру нөмірі және фотосуреті;</w:t>
      </w:r>
    </w:p>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туу туралы куәлігін қоспағанда, жеке басын куәландыратын құжатта көрсетілген тұлғаның тегі, аты, әкесінің аты (ол бар болса) және фотосуреті.</w:t>
      </w:r>
    </w:p>
    <w:p>
      <w:pPr>
        <w:spacing w:after="0"/>
        <w:ind w:left="0"/>
        <w:jc w:val="both"/>
      </w:pPr>
      <w:r>
        <w:rPr>
          <w:rFonts w:ascii="Times New Roman"/>
          <w:b w:val="false"/>
          <w:i w:val="false"/>
          <w:color w:val="000000"/>
          <w:sz w:val="28"/>
        </w:rPr>
        <w:t>
      Клиентті жеке кабинетте тіркеу кезінде СДАО қызметтерін пайдалану арқылы немесе микроқаржылық қызметті жүзеге асыратын ұйымның құрылғылары арқылы алынған биометриялық деректер бойынша биометриялық сәйкестендіру және (немесе) клиенттің Қазақстан Республикасының аккредиттелген куәландыру орталығы берген электрондық цифрлық қолтаңбасы қолданылады.</w:t>
      </w:r>
    </w:p>
    <w:p>
      <w:pPr>
        <w:spacing w:after="0"/>
        <w:ind w:left="0"/>
        <w:jc w:val="both"/>
      </w:pPr>
      <w:r>
        <w:rPr>
          <w:rFonts w:ascii="Times New Roman"/>
          <w:b w:val="false"/>
          <w:i w:val="false"/>
          <w:color w:val="000000"/>
          <w:sz w:val="28"/>
        </w:rPr>
        <w:t>
      Дара кәсіпкер ретінде тіркелген клиент - жеке тұлғаны тіркеу кезінде электрондық цифрлық қолтаңбаны қолдану талап етілмейді.</w:t>
      </w:r>
    </w:p>
    <w:p>
      <w:pPr>
        <w:spacing w:after="0"/>
        <w:ind w:left="0"/>
        <w:jc w:val="both"/>
      </w:pPr>
      <w:r>
        <w:rPr>
          <w:rFonts w:ascii="Times New Roman"/>
          <w:b w:val="false"/>
          <w:i w:val="false"/>
          <w:color w:val="000000"/>
          <w:sz w:val="28"/>
        </w:rPr>
        <w:t>
      Клиентті жеке кабинетке тіркегеннен кейін клиенттің жеке кабинетке кейіннен кіруі құпиясөздерді ойлап табу және (немесе) енгізу арқылы немесе бірдейлендіру белгілерінің (токендер, смарт-карталар, бір реттік құпиясөздер) кем дегенде біреуін пайдалану арқылы жүзеге асырылады.</w:t>
      </w:r>
    </w:p>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немесе банк шотының деректемелеріне (микрокредиттерді терминалдар арқылы беруді қоспағанда) өзгерістер енгізу клиенттің жеке кабинетінде СДАО қызметтерін пайдалану арқылы биометриялық сәйкестендіруді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p>
      <w:pPr>
        <w:spacing w:after="0"/>
        <w:ind w:left="0"/>
        <w:jc w:val="both"/>
      </w:pPr>
      <w:r>
        <w:rPr>
          <w:rFonts w:ascii="Times New Roman"/>
          <w:b w:val="false"/>
          <w:i w:val="false"/>
          <w:color w:val="000000"/>
          <w:sz w:val="28"/>
        </w:rPr>
        <w:t>
      Жеке кабинетте клиенттің жеке сәйкестендіру нөмірі немесе бизнес-сәйкестендіру нөмірі туралы деректер өзгертілмейді.";</w:t>
      </w:r>
    </w:p>
    <w:bookmarkStart w:name="z23" w:id="5"/>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СДАО қызметтерін пайдалану арқылы биометриялық сәйкестендіруді қолдана отырып немесе микроқаржылық қызметті жүзеге асыратын ұйымның құрылғылары және (немесе) клиентті тіркеу кезінде алынған клиенттің биометриялық деректерін және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bookmarkEnd w:id="5"/>
    <w:p>
      <w:pPr>
        <w:spacing w:after="0"/>
        <w:ind w:left="0"/>
        <w:jc w:val="both"/>
      </w:pPr>
      <w:r>
        <w:rPr>
          <w:rFonts w:ascii="Times New Roman"/>
          <w:b w:val="false"/>
          <w:i w:val="false"/>
          <w:color w:val="000000"/>
          <w:sz w:val="28"/>
        </w:rPr>
        <w:t xml:space="preserve">
      Дара кәсіпкер ретінде тіркелген клиент-жеке тұлғамен кәсіпкерлік қызметті жүзеге асыруға байланысты микрокредит беру туралы шарт жасасу кезінде, сондай-ақ оған өзгерістер мен толықтырулар енгізу кезінде электрондық цифрлық қолтаңбаны қолдану талап етілмейді. </w:t>
      </w:r>
    </w:p>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 шотынан клиенттің банктік шотына (төлем карточкасына) ақша аудару жолымен, сондай-ақ клиентке терминал немесе касса арқылы қолма-қол ақшаны беру және (немесе) микроқаржылық қызметті жүзеге асыратын ұйымда қарыз алушы сатып алатын тауарға немесе орындаған жұмыстарға, көрсетілетін қызметтерге ақы төлеуді көздейтін шарт жасалған заңды тұлғаның банк шотына микрокредитті қарыз алушының өтініші бойынша аудару арқылы жүзеге асырылады.</w:t>
      </w:r>
    </w:p>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қызметтерге ақы төлеуді көздейтін шарт жасалған заңды тұлғаның банк шотына аудару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пайдалана отырып жүзеге асырылады.</w:t>
      </w:r>
    </w:p>
    <w:p>
      <w:pPr>
        <w:spacing w:after="0"/>
        <w:ind w:left="0"/>
        <w:jc w:val="both"/>
      </w:pPr>
      <w:r>
        <w:rPr>
          <w:rFonts w:ascii="Times New Roman"/>
          <w:b w:val="false"/>
          <w:i w:val="false"/>
          <w:color w:val="000000"/>
          <w:sz w:val="28"/>
        </w:rPr>
        <w:t>
      Қарыз алушыға касса арқылы микрокредит беру оның жеке басын куәландыратын құжатпен (туу туралы куәлікті қоспағанда) не цифрлық құжаттар сервисі арқылы алынған клиенттің жеке басын растайтын (сәйкестендіретін) деректермен қолма-қол ақша алатын клиентті көзбен шолып сәйкестендіру жүргізу, сондай-ақ клиент-заңды тұлғаға микрокредит берілген жағдайда, ақша алуға уәкілетті адамның өкілеттіктерін растайтын сенімхат 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 жасасу </w:t>
      </w:r>
      <w:r>
        <w:rPr>
          <w:rFonts w:ascii="Times New Roman"/>
          <w:b w:val="false"/>
          <w:i w:val="false"/>
          <w:color w:val="000000"/>
          <w:sz w:val="28"/>
        </w:rPr>
        <w:t>тәртібінде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5-тармақпен толықтырылсын: </w:t>
      </w:r>
    </w:p>
    <w:bookmarkStart w:name="z27" w:id="6"/>
    <w:p>
      <w:pPr>
        <w:spacing w:after="0"/>
        <w:ind w:left="0"/>
        <w:jc w:val="both"/>
      </w:pPr>
      <w:r>
        <w:rPr>
          <w:rFonts w:ascii="Times New Roman"/>
          <w:b w:val="false"/>
          <w:i w:val="false"/>
          <w:color w:val="000000"/>
          <w:sz w:val="28"/>
        </w:rPr>
        <w:t xml:space="preserve">
      "5. Дара кәсіпкер ретінде тіркелген жеке тұлғаға микрокредит берілгенге дейін микроқаржылық қызметті жүзеге асыратын ұйым микрокредиттер берудің ішкі қағидалары шеңберінде қарыз алушының кредит қабілеттілігін талдау рәсімін жүргізеді. </w:t>
      </w:r>
    </w:p>
    <w:bookmarkEnd w:id="6"/>
    <w:p>
      <w:pPr>
        <w:spacing w:after="0"/>
        <w:ind w:left="0"/>
        <w:jc w:val="both"/>
      </w:pPr>
      <w:r>
        <w:rPr>
          <w:rFonts w:ascii="Times New Roman"/>
          <w:b w:val="false"/>
          <w:i w:val="false"/>
          <w:color w:val="000000"/>
          <w:sz w:val="28"/>
        </w:rPr>
        <w:t>
      Микроқаржылық қызметті жүзеге асыратын ұйым республикалық бюджет туралы заңмен тиісті қаржы жылына белгіленген екі мың жеті жүз он еселенген айлық есептік көрсеткіштен асатын мөлшерде микрокредит бергенге дейін мынадай факторлардың негізінде қарыз алушының кредит қабілеттілігін талдауды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микрокредиттер бойынша төлем тәртібі (кредиттік тарих);</w:t>
      </w:r>
    </w:p>
    <w:p>
      <w:pPr>
        <w:spacing w:after="0"/>
        <w:ind w:left="0"/>
        <w:jc w:val="both"/>
      </w:pPr>
      <w:r>
        <w:rPr>
          <w:rFonts w:ascii="Times New Roman"/>
          <w:b w:val="false"/>
          <w:i w:val="false"/>
          <w:color w:val="000000"/>
          <w:sz w:val="28"/>
        </w:rPr>
        <w:t>
      микроқаржылық қызметті жүзеге асыратын ұйымның скорингтік жүйелеріндегі қарыз алушының рейтингі (бар болса);</w:t>
      </w:r>
    </w:p>
    <w:p>
      <w:pPr>
        <w:spacing w:after="0"/>
        <w:ind w:left="0"/>
        <w:jc w:val="both"/>
      </w:pPr>
      <w:r>
        <w:rPr>
          <w:rFonts w:ascii="Times New Roman"/>
          <w:b w:val="false"/>
          <w:i w:val="false"/>
          <w:color w:val="000000"/>
          <w:sz w:val="28"/>
        </w:rPr>
        <w:t xml:space="preserve">
      өзге берешектің болуы; </w:t>
      </w:r>
    </w:p>
    <w:p>
      <w:pPr>
        <w:spacing w:after="0"/>
        <w:ind w:left="0"/>
        <w:jc w:val="both"/>
      </w:pPr>
      <w:r>
        <w:rPr>
          <w:rFonts w:ascii="Times New Roman"/>
          <w:b w:val="false"/>
          <w:i w:val="false"/>
          <w:color w:val="000000"/>
          <w:sz w:val="28"/>
        </w:rPr>
        <w:t>
      банктік шоттар бойынша қалдықтар мен операциялар (бар болса);</w:t>
      </w:r>
    </w:p>
    <w:p>
      <w:pPr>
        <w:spacing w:after="0"/>
        <w:ind w:left="0"/>
        <w:jc w:val="both"/>
      </w:pPr>
      <w:r>
        <w:rPr>
          <w:rFonts w:ascii="Times New Roman"/>
          <w:b w:val="false"/>
          <w:i w:val="false"/>
          <w:color w:val="000000"/>
          <w:sz w:val="28"/>
        </w:rPr>
        <w:t>
      ақшаны нысаналы пайдалануы туралы ақпарат;</w:t>
      </w:r>
    </w:p>
    <w:p>
      <w:pPr>
        <w:spacing w:after="0"/>
        <w:ind w:left="0"/>
        <w:jc w:val="both"/>
      </w:pPr>
      <w:r>
        <w:rPr>
          <w:rFonts w:ascii="Times New Roman"/>
          <w:b w:val="false"/>
          <w:i w:val="false"/>
          <w:color w:val="000000"/>
          <w:sz w:val="28"/>
        </w:rPr>
        <w:t>
      микрокредит беруге жұбайының (зайыбының) келісімінің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19774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Банктік қарыз шартын жасасу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3-2-тармақпен толықтырылсын:</w:t>
      </w:r>
    </w:p>
    <w:bookmarkStart w:name="z31" w:id="7"/>
    <w:p>
      <w:pPr>
        <w:spacing w:after="0"/>
        <w:ind w:left="0"/>
        <w:jc w:val="both"/>
      </w:pPr>
      <w:r>
        <w:rPr>
          <w:rFonts w:ascii="Times New Roman"/>
          <w:b w:val="false"/>
          <w:i w:val="false"/>
          <w:color w:val="000000"/>
          <w:sz w:val="28"/>
        </w:rPr>
        <w:t>
      "3-2. Дара кәсіпкер ретінде тіркелген жеке тұлғаға банктік қарыз берілгенге дейін банк бекітілген кредит саясаты шеңберінде қарыз алушының кредит қабілеттілігін талдау рәсімін жүргізеді.</w:t>
      </w:r>
    </w:p>
    <w:bookmarkEnd w:id="7"/>
    <w:p>
      <w:pPr>
        <w:spacing w:after="0"/>
        <w:ind w:left="0"/>
        <w:jc w:val="both"/>
      </w:pPr>
      <w:r>
        <w:rPr>
          <w:rFonts w:ascii="Times New Roman"/>
          <w:b w:val="false"/>
          <w:i w:val="false"/>
          <w:color w:val="000000"/>
          <w:sz w:val="28"/>
        </w:rPr>
        <w:t>
      Егер қарыз алушы кемінде алты ай мерзімде қызметін дара кәсіпкер ретінде жүзеге асыратын болса және кәсіпкерлік қызметтен түсетін айналымдар болмаған жағдайда, республикалық бюджет туралы заңмен тиісті қаржы жылына белгіленген екі мың жеті жүз он еселенген айлық есептік көрсеткіштен асатын мөлшерде қарыз бергенге дейін банк мынадай факторларды:</w:t>
      </w:r>
    </w:p>
    <w:p>
      <w:pPr>
        <w:spacing w:after="0"/>
        <w:ind w:left="0"/>
        <w:jc w:val="both"/>
      </w:pPr>
      <w:r>
        <w:rPr>
          <w:rFonts w:ascii="Times New Roman"/>
          <w:b w:val="false"/>
          <w:i w:val="false"/>
          <w:color w:val="000000"/>
          <w:sz w:val="28"/>
        </w:rPr>
        <w:t>
      қарызды өтеу үшін өзге де кіріс көздерінің немесе кепілгерлердің болуын;</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болуын;</w:t>
      </w:r>
    </w:p>
    <w:p>
      <w:pPr>
        <w:spacing w:after="0"/>
        <w:ind w:left="0"/>
        <w:jc w:val="both"/>
      </w:pPr>
      <w:r>
        <w:rPr>
          <w:rFonts w:ascii="Times New Roman"/>
          <w:b w:val="false"/>
          <w:i w:val="false"/>
          <w:color w:val="000000"/>
          <w:sz w:val="28"/>
        </w:rPr>
        <w:t>
      борыш жүктемесін;</w:t>
      </w:r>
    </w:p>
    <w:p>
      <w:pPr>
        <w:spacing w:after="0"/>
        <w:ind w:left="0"/>
        <w:jc w:val="both"/>
      </w:pPr>
      <w:r>
        <w:rPr>
          <w:rFonts w:ascii="Times New Roman"/>
          <w:b w:val="false"/>
          <w:i w:val="false"/>
          <w:color w:val="000000"/>
          <w:sz w:val="28"/>
        </w:rPr>
        <w:t>
      қарыздар бойынша төлем тәртібін (кредиттік тарих);</w:t>
      </w:r>
    </w:p>
    <w:p>
      <w:pPr>
        <w:spacing w:after="0"/>
        <w:ind w:left="0"/>
        <w:jc w:val="both"/>
      </w:pPr>
      <w:r>
        <w:rPr>
          <w:rFonts w:ascii="Times New Roman"/>
          <w:b w:val="false"/>
          <w:i w:val="false"/>
          <w:color w:val="000000"/>
          <w:sz w:val="28"/>
        </w:rPr>
        <w:t>
      банктің скорингтік жүйелеріндегі қарыз алушының рейтингін (бар болса);</w:t>
      </w:r>
    </w:p>
    <w:p>
      <w:pPr>
        <w:spacing w:after="0"/>
        <w:ind w:left="0"/>
        <w:jc w:val="both"/>
      </w:pPr>
      <w:r>
        <w:rPr>
          <w:rFonts w:ascii="Times New Roman"/>
          <w:b w:val="false"/>
          <w:i w:val="false"/>
          <w:color w:val="000000"/>
          <w:sz w:val="28"/>
        </w:rPr>
        <w:t>
      өзге де берешектің болуын;</w:t>
      </w:r>
    </w:p>
    <w:p>
      <w:pPr>
        <w:spacing w:after="0"/>
        <w:ind w:left="0"/>
        <w:jc w:val="both"/>
      </w:pPr>
      <w:r>
        <w:rPr>
          <w:rFonts w:ascii="Times New Roman"/>
          <w:b w:val="false"/>
          <w:i w:val="false"/>
          <w:color w:val="000000"/>
          <w:sz w:val="28"/>
        </w:rPr>
        <w:t>
      банктік шоттар бойынша қалдықтар мен операцияларды;</w:t>
      </w:r>
    </w:p>
    <w:p>
      <w:pPr>
        <w:spacing w:after="0"/>
        <w:ind w:left="0"/>
        <w:jc w:val="both"/>
      </w:pPr>
      <w:r>
        <w:rPr>
          <w:rFonts w:ascii="Times New Roman"/>
          <w:b w:val="false"/>
          <w:i w:val="false"/>
          <w:color w:val="000000"/>
          <w:sz w:val="28"/>
        </w:rPr>
        <w:t>
      ақшаны нысаналы пайдалану туралы ақпаратты;</w:t>
      </w:r>
    </w:p>
    <w:p>
      <w:pPr>
        <w:spacing w:after="0"/>
        <w:ind w:left="0"/>
        <w:jc w:val="both"/>
      </w:pPr>
      <w:r>
        <w:rPr>
          <w:rFonts w:ascii="Times New Roman"/>
          <w:b w:val="false"/>
          <w:i w:val="false"/>
          <w:color w:val="000000"/>
          <w:sz w:val="28"/>
        </w:rPr>
        <w:t>
      қарыз беруге жұбайының (зайыбының) келісімінің болуын ескере отырып, қарыз алушының кредит қабілеттілігіне талдауды жүзеге асырады.</w:t>
      </w:r>
    </w:p>
    <w:p>
      <w:pPr>
        <w:spacing w:after="0"/>
        <w:ind w:left="0"/>
        <w:jc w:val="both"/>
      </w:pPr>
      <w:r>
        <w:rPr>
          <w:rFonts w:ascii="Times New Roman"/>
          <w:b w:val="false"/>
          <w:i w:val="false"/>
          <w:color w:val="000000"/>
          <w:sz w:val="28"/>
        </w:rPr>
        <w:t>
      Егер қарыз алушы қызметін алты айдан астам мерзімде дара кәсіпкер ретінде жүзеге асыратын болса немесе кәсіпкерлік қызметтен түсетін айналымдар болған жағдайда, банк республикалық бюджет туралы заңмен тиісті қаржы жылына белгіленген жиырма жеті мың еселенген айлық есептік көрсеткіштен асатын мөлшерде қарыз берген кезде мынадай факторларды:</w:t>
      </w:r>
    </w:p>
    <w:p>
      <w:pPr>
        <w:spacing w:after="0"/>
        <w:ind w:left="0"/>
        <w:jc w:val="both"/>
      </w:pPr>
      <w:r>
        <w:rPr>
          <w:rFonts w:ascii="Times New Roman"/>
          <w:b w:val="false"/>
          <w:i w:val="false"/>
          <w:color w:val="000000"/>
          <w:sz w:val="28"/>
        </w:rPr>
        <w:t>
      кәсіпкерлік қызметтен айналымдардың (сенімді және жеткілікті кірістердің) болуы;</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болуын;</w:t>
      </w:r>
    </w:p>
    <w:p>
      <w:pPr>
        <w:spacing w:after="0"/>
        <w:ind w:left="0"/>
        <w:jc w:val="both"/>
      </w:pPr>
      <w:r>
        <w:rPr>
          <w:rFonts w:ascii="Times New Roman"/>
          <w:b w:val="false"/>
          <w:i w:val="false"/>
          <w:color w:val="000000"/>
          <w:sz w:val="28"/>
        </w:rPr>
        <w:t>
      борыш жүктемесін;</w:t>
      </w:r>
    </w:p>
    <w:p>
      <w:pPr>
        <w:spacing w:after="0"/>
        <w:ind w:left="0"/>
        <w:jc w:val="both"/>
      </w:pPr>
      <w:r>
        <w:rPr>
          <w:rFonts w:ascii="Times New Roman"/>
          <w:b w:val="false"/>
          <w:i w:val="false"/>
          <w:color w:val="000000"/>
          <w:sz w:val="28"/>
        </w:rPr>
        <w:t>
      қарыздар бойынша төлем тәртібін (кредиттік тарих);</w:t>
      </w:r>
    </w:p>
    <w:p>
      <w:pPr>
        <w:spacing w:after="0"/>
        <w:ind w:left="0"/>
        <w:jc w:val="both"/>
      </w:pPr>
      <w:r>
        <w:rPr>
          <w:rFonts w:ascii="Times New Roman"/>
          <w:b w:val="false"/>
          <w:i w:val="false"/>
          <w:color w:val="000000"/>
          <w:sz w:val="28"/>
        </w:rPr>
        <w:t>
      банктің скорингтік жүйелеріндегі қарыз алушының рейтингін (бар болса);</w:t>
      </w:r>
    </w:p>
    <w:p>
      <w:pPr>
        <w:spacing w:after="0"/>
        <w:ind w:left="0"/>
        <w:jc w:val="both"/>
      </w:pPr>
      <w:r>
        <w:rPr>
          <w:rFonts w:ascii="Times New Roman"/>
          <w:b w:val="false"/>
          <w:i w:val="false"/>
          <w:color w:val="000000"/>
          <w:sz w:val="28"/>
        </w:rPr>
        <w:t>
      өзге де берешектің болуын;</w:t>
      </w:r>
    </w:p>
    <w:p>
      <w:pPr>
        <w:spacing w:after="0"/>
        <w:ind w:left="0"/>
        <w:jc w:val="both"/>
      </w:pPr>
      <w:r>
        <w:rPr>
          <w:rFonts w:ascii="Times New Roman"/>
          <w:b w:val="false"/>
          <w:i w:val="false"/>
          <w:color w:val="000000"/>
          <w:sz w:val="28"/>
        </w:rPr>
        <w:t>
      банктік шоттар бойынша қалдықтар мен операцияларды;</w:t>
      </w:r>
    </w:p>
    <w:p>
      <w:pPr>
        <w:spacing w:after="0"/>
        <w:ind w:left="0"/>
        <w:jc w:val="both"/>
      </w:pPr>
      <w:r>
        <w:rPr>
          <w:rFonts w:ascii="Times New Roman"/>
          <w:b w:val="false"/>
          <w:i w:val="false"/>
          <w:color w:val="000000"/>
          <w:sz w:val="28"/>
        </w:rPr>
        <w:t>
      ақшаны нысаналы пайдалану туралы ақпаратты;</w:t>
      </w:r>
    </w:p>
    <w:p>
      <w:pPr>
        <w:spacing w:after="0"/>
        <w:ind w:left="0"/>
        <w:jc w:val="both"/>
      </w:pPr>
      <w:r>
        <w:rPr>
          <w:rFonts w:ascii="Times New Roman"/>
          <w:b w:val="false"/>
          <w:i w:val="false"/>
          <w:color w:val="000000"/>
          <w:sz w:val="28"/>
        </w:rPr>
        <w:t>
      қарыз беруге жұбайының (зайыбының) келісімінің болуын ескере отырып, қарыз алушының кредит қабілеттілігіне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тұлғаға банктік қарыз немесе микрокредит беруге жұбайының (зайыбының) келісімін алу қағидаларын, жеке тұлғаға банктік қарыз немесе микрокредит алуға жұбайының (зайыбының) келісімі қажет болатын банктік қарыздың немесе микрокредиттің ең төменгі мөлшерін бекіту туралы" Қазақстан Республикасы Қаржы нарығын реттеу және дамыту агенттігі Басқармасының 2024 жылғы 16 тамыздағы № 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34946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7" w:id="8"/>
    <w:p>
      <w:pPr>
        <w:spacing w:after="0"/>
        <w:ind w:left="0"/>
        <w:jc w:val="both"/>
      </w:pPr>
      <w:r>
        <w:rPr>
          <w:rFonts w:ascii="Times New Roman"/>
          <w:b w:val="false"/>
          <w:i w:val="false"/>
          <w:color w:val="000000"/>
          <w:sz w:val="28"/>
        </w:rPr>
        <w:t xml:space="preserve">
      "1. Мына: </w:t>
      </w:r>
    </w:p>
    <w:bookmarkEnd w:id="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Жеке тұлғаға банктік қарыз немесе микрокредит беруге жұбайының (зайыбының) келісімін алу қағидалары;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мың еселенген айлық есептік көрсеткіш мөлшерінде жеке тұлғаға банктік қарыз немесе микрокредит беруге жұбайының (зайыбының) келісімі қажет болатын банктік қарыздың немесе микрокредиттің (қайта қаржыландырылуға жататын банктік қарыздар мен микрокредиттерді қоспағанда) ең төменгі мөлшері;</w:t>
      </w:r>
    </w:p>
    <w:p>
      <w:pPr>
        <w:spacing w:after="0"/>
        <w:ind w:left="0"/>
        <w:jc w:val="both"/>
      </w:pPr>
      <w:r>
        <w:rPr>
          <w:rFonts w:ascii="Times New Roman"/>
          <w:b w:val="false"/>
          <w:i w:val="false"/>
          <w:color w:val="000000"/>
          <w:sz w:val="28"/>
        </w:rPr>
        <w:t xml:space="preserve">
      3)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w:t>
      </w:r>
      <w:r>
        <w:rPr>
          <w:rFonts w:ascii="Times New Roman"/>
          <w:b w:val="false"/>
          <w:i w:val="false"/>
          <w:color w:val="000000"/>
          <w:sz w:val="28"/>
        </w:rPr>
        <w:t>232</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және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w:t>
      </w:r>
      <w:r>
        <w:rPr>
          <w:rFonts w:ascii="Times New Roman"/>
          <w:b w:val="false"/>
          <w:i w:val="false"/>
          <w:color w:val="000000"/>
          <w:sz w:val="28"/>
        </w:rPr>
        <w:t>248</w:t>
      </w:r>
      <w:r>
        <w:rPr>
          <w:rFonts w:ascii="Times New Roman"/>
          <w:b w:val="false"/>
          <w:i w:val="false"/>
          <w:color w:val="000000"/>
          <w:sz w:val="28"/>
        </w:rPr>
        <w:t xml:space="preserve"> (Нормативтік құқықтық актілерді мемлекеттік тіркеу тізілімінде № 19774 болып тіркелген) қаулыларына сәйкес айқындалатын дара кәсіпкер ретінде тіркелген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 бекітілсін.".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