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e075" w14:textId="93ae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 қазандағы № 343 бұйрығы. Қазақстан Республикасының Әділет министрлігінде 2024 жылғы 2 қазанда № 35196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инвестициялардың және квазимемлекеттік сектор субъектілерінің қаражаттары есебінен объектілер құрылысының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инвестициялар және квазимемлекеттік сектор субъектілерінің қаражаттары есебінен объектілер құрылысының құнын айқындау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құрылыс құнының 50 (елу) және одан да астам пайызы мөлшерінде шетелдік инвестицияларды тарта отырып, квазимемлекеттік сектор субъектілері іске асыратын, құрылысының құны алдынғы қатарлы жалпыәлемдік стандарттарға сәйкес айқындалған, жауапкершілігі І (жоғары) деңгейдегі объектілерді қоспағанда, құрылыстағы мемлекеттік инвестициялардың және квазимемлекеттік сектор субъектілерінің қаражаттары есебінен объектілер құрылысының (бұдан әрі – объектілер құрылысы) құнын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"11. Ведомстводан тыс кешенді сараптама жүргізу барысында құрылыс жобасының:</w:t>
      </w:r>
    </w:p>
    <w:bookmarkEnd w:id="2"/>
    <w:p>
      <w:pPr>
        <w:spacing w:after="0"/>
        <w:ind w:left="0"/>
        <w:jc w:val="both"/>
      </w:pPr>
      <w:r>
        <w:rPr>
          <w:rFonts w:ascii="Times New Roman"/>
          <w:b w:val="false"/>
          <w:i w:val="false"/>
          <w:color w:val="000000"/>
          <w:sz w:val="28"/>
        </w:rPr>
        <w:t>
      1) жобалауға арналған тапсырмаға, өзге де бастапқы құжаттарға (материалдарға, деректерге),техникалық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мақсатына сәйкестігі;</w:t>
      </w:r>
    </w:p>
    <w:p>
      <w:pPr>
        <w:spacing w:after="0"/>
        <w:ind w:left="0"/>
        <w:jc w:val="both"/>
      </w:pPr>
      <w:r>
        <w:rPr>
          <w:rFonts w:ascii="Times New Roman"/>
          <w:b w:val="false"/>
          <w:i w:val="false"/>
          <w:color w:val="000000"/>
          <w:sz w:val="28"/>
        </w:rPr>
        <w:t>
      2) санитариялық-эпидемиологиялық,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 сондай-ақ құрылыс нормаларды және қағидаларды шетел мемлекеттердің стандарттарын, Қазақстан Республикасының аумағында халықаралық мамандандырылған көрме Арнайы экономикалық аймақтардың аумағында орналасқан, халықаралық және аймақтық ұйымдардың объектілері бойынша.</w:t>
      </w:r>
    </w:p>
    <w:p>
      <w:pPr>
        <w:spacing w:after="0"/>
        <w:ind w:left="0"/>
        <w:jc w:val="both"/>
      </w:pPr>
      <w:r>
        <w:rPr>
          <w:rFonts w:ascii="Times New Roman"/>
          <w:b w:val="false"/>
          <w:i w:val="false"/>
          <w:color w:val="000000"/>
          <w:sz w:val="28"/>
        </w:rPr>
        <w:t>
      3) бірегей ғимараттар мен құрылыстардың (олардың қоршау конструкцияларының), сондай-ақ энергетикалық ресурстарды жобалық тұтынуы жылына бес жүз тонна шартты отынның баламалы көрсеткіштен асып кететін объектілердің энергия тиімділігі жөніндегі талаптарға сәйкестігі;</w:t>
      </w:r>
    </w:p>
    <w:p>
      <w:pPr>
        <w:spacing w:after="0"/>
        <w:ind w:left="0"/>
        <w:jc w:val="both"/>
      </w:pPr>
      <w:r>
        <w:rPr>
          <w:rFonts w:ascii="Times New Roman"/>
          <w:b w:val="false"/>
          <w:i w:val="false"/>
          <w:color w:val="000000"/>
          <w:sz w:val="28"/>
        </w:rPr>
        <w:t>
      4) ресурсты үнемдеу, отандық тауар өндірушілерді мүдделерін қорғау саласында белгіленген шарттар мен шектеулерге сәйкестігі;</w:t>
      </w:r>
    </w:p>
    <w:p>
      <w:pPr>
        <w:spacing w:after="0"/>
        <w:ind w:left="0"/>
        <w:jc w:val="both"/>
      </w:pPr>
      <w:r>
        <w:rPr>
          <w:rFonts w:ascii="Times New Roman"/>
          <w:b w:val="false"/>
          <w:i w:val="false"/>
          <w:color w:val="000000"/>
          <w:sz w:val="28"/>
        </w:rPr>
        <w:t>
      5) қабылданған көлемдік-жоспарлық және сындарлы шешімдердің, қолданылатын материалдардың, технологиялық және инженерлік жабдықтың негізділігін, құрылыс конструкцияларының сенімділігі мен беріктілігі;</w:t>
      </w:r>
    </w:p>
    <w:p>
      <w:pPr>
        <w:spacing w:after="0"/>
        <w:ind w:left="0"/>
        <w:jc w:val="both"/>
      </w:pPr>
      <w:r>
        <w:rPr>
          <w:rFonts w:ascii="Times New Roman"/>
          <w:b w:val="false"/>
          <w:i w:val="false"/>
          <w:color w:val="000000"/>
          <w:sz w:val="28"/>
        </w:rPr>
        <w:t>
      6) ЖСҚ көзделген құрылыс объектілері (ғимараттар мен құрылыстардың, олардың кешендердің, коммуникациялардың) көлемдерінің негізділігін және орындылығы;</w:t>
      </w:r>
    </w:p>
    <w:p>
      <w:pPr>
        <w:spacing w:after="0"/>
        <w:ind w:left="0"/>
        <w:jc w:val="both"/>
      </w:pPr>
      <w:r>
        <w:rPr>
          <w:rFonts w:ascii="Times New Roman"/>
          <w:b w:val="false"/>
          <w:i w:val="false"/>
          <w:color w:val="000000"/>
          <w:sz w:val="28"/>
        </w:rPr>
        <w:t xml:space="preserve">
      7)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 және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(бұдан әрі – Нормативтік құжат) сәйкес көрсеткіштердің, оның ішінде құрылыстың есептік немесе сметалық құнының негізділігі мен дұрыстығы;</w:t>
      </w:r>
    </w:p>
    <w:p>
      <w:pPr>
        <w:spacing w:after="0"/>
        <w:ind w:left="0"/>
        <w:jc w:val="both"/>
      </w:pPr>
      <w:r>
        <w:rPr>
          <w:rFonts w:ascii="Times New Roman"/>
          <w:b w:val="false"/>
          <w:i w:val="false"/>
          <w:color w:val="000000"/>
          <w:sz w:val="28"/>
        </w:rPr>
        <w:t>
      8) халық денсаулығын қорғау бойынша ұсынылатын шалалардың тиімділігі, толықтығы және жеткіліктігі;</w:t>
      </w:r>
    </w:p>
    <w:p>
      <w:pPr>
        <w:spacing w:after="0"/>
        <w:ind w:left="0"/>
        <w:jc w:val="both"/>
      </w:pPr>
      <w:r>
        <w:rPr>
          <w:rFonts w:ascii="Times New Roman"/>
          <w:b w:val="false"/>
          <w:i w:val="false"/>
          <w:color w:val="000000"/>
          <w:sz w:val="28"/>
        </w:rPr>
        <w:t>
      9) жоспарланған қызметтің халықтың денсаулығына әсер етуінің толықтығы мен дұрыстығын анықтау;</w:t>
      </w:r>
    </w:p>
    <w:p>
      <w:pPr>
        <w:spacing w:after="0"/>
        <w:ind w:left="0"/>
        <w:jc w:val="both"/>
      </w:pPr>
      <w:r>
        <w:rPr>
          <w:rFonts w:ascii="Times New Roman"/>
          <w:b w:val="false"/>
          <w:i w:val="false"/>
          <w:color w:val="000000"/>
          <w:sz w:val="28"/>
        </w:rPr>
        <w:t>
      10) санитариялық-эпидемиологиялық талаптарға және гигиеналық нормативтерге сәйкестігі тұрғысынан бағалау бойынша міндеттер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"66. Жобалаудың әрбір кезеңіндегі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жергілікті сметалар (жергілікті сметалық есептер) бойынша айқындалады және жергілікті сараптамалық қорытындыларда көрсетеледі.</w:t>
      </w:r>
    </w:p>
    <w:bookmarkEnd w:id="3"/>
    <w:p>
      <w:pPr>
        <w:spacing w:after="0"/>
        <w:ind w:left="0"/>
        <w:jc w:val="both"/>
      </w:pPr>
      <w:r>
        <w:rPr>
          <w:rFonts w:ascii="Times New Roman"/>
          <w:b w:val="false"/>
          <w:i w:val="false"/>
          <w:color w:val="000000"/>
          <w:sz w:val="28"/>
        </w:rPr>
        <w:t>
      Жергілікті сараптамалық қорытынды берілген кезде жиынтық сметалық есептеуде Жиынтық сметалық есептеудің "Инжинирингтік көрсетілетін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bookmarkStart w:name="z13" w:id="4"/>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