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9c92" w14:textId="3d09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 операторына қатысты Қазақстан Республикасының лотерея және лотерея қызметі туралы заңнаманы сақтаудағы тәуекел дәрежесін бағалау өлшемшарттарын және тексеру парағын бекіту туралы" 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2024 жылғы 8 қазандағы № 173 және Қазақстан Республикасы Премьер-Министрінің орынбасары - Ұлттық экономика министрінің 2024 жылғы 10 қазандағы № 87 бірлескен бұйрығы. Қазақстан Республикасының Әділет министрлігінде 2024 жылғы 14 қазанда № 35255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"Лотерея операторына қатысты Қазақстан Республикасының лотерея және лотерея қызметі туралы заңнаманы сақтаудағы тәуекел дәрежесін бағалау өлшемшарттарын және тексеру парағын бекіту туралы" 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14142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бектітілген лотерея және лотерея қызметінің операторына арналған Қазақстан Республикасының лотерея және лотерея қызметі туралы заңнаманы сақтаудағы тәуекел дәрежесін бағалаудың </w:t>
      </w:r>
      <w:r>
        <w:rPr>
          <w:rFonts w:ascii="Times New Roman"/>
          <w:b w:val="false"/>
          <w:i w:val="false"/>
          <w:color w:val="000000"/>
          <w:sz w:val="28"/>
        </w:rPr>
        <w:t>өлшемшарттары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өлшемшарттарда</w:t>
      </w:r>
      <w:r>
        <w:rPr>
          <w:rFonts w:ascii="Times New Roman"/>
          <w:b w:val="false"/>
          <w:i w:val="false"/>
          <w:color w:val="000000"/>
          <w:sz w:val="28"/>
        </w:rPr>
        <w:t xml:space="preserve"> мынадай ұғымдар пайдаланылады:</w:t>
      </w:r>
    </w:p>
    <w:p>
      <w:pPr>
        <w:spacing w:after="0"/>
        <w:ind w:left="0"/>
        <w:jc w:val="both"/>
      </w:pPr>
      <w:r>
        <w:rPr>
          <w:rFonts w:ascii="Times New Roman"/>
          <w:b w:val="false"/>
          <w:i w:val="false"/>
          <w:color w:val="000000"/>
          <w:sz w:val="28"/>
        </w:rPr>
        <w:t>
      1) бақылау субъектісі – қызметін бақылау жүзеге асырылатын, лотереяларды өткізу жөніндегі қызметті жүзеге асыратын лотерея және лотерея қызметі саласындағы уәкілетті орган айқындайтын заңды тұлға;</w:t>
      </w:r>
    </w:p>
    <w:p>
      <w:pPr>
        <w:spacing w:after="0"/>
        <w:ind w:left="0"/>
        <w:jc w:val="both"/>
      </w:pPr>
      <w:r>
        <w:rPr>
          <w:rFonts w:ascii="Times New Roman"/>
          <w:b w:val="false"/>
          <w:i w:val="false"/>
          <w:color w:val="000000"/>
          <w:sz w:val="28"/>
        </w:rPr>
        <w:t>
      2) балл – тәуекелді есептеудің сандық өлшемі;</w:t>
      </w:r>
    </w:p>
    <w:p>
      <w:pPr>
        <w:spacing w:after="0"/>
        <w:ind w:left="0"/>
        <w:jc w:val="both"/>
      </w:pPr>
      <w:r>
        <w:rPr>
          <w:rFonts w:ascii="Times New Roman"/>
          <w:b w:val="false"/>
          <w:i w:val="false"/>
          <w:color w:val="000000"/>
          <w:sz w:val="28"/>
        </w:rPr>
        <w:t>
      3) болмашы бұзушылықтар – Қазақстан Республикасының лотереялар және лотерея қызметі туралы заңнамасының талаптарын бұзушылықтар, оларды сақтамау жеке және заңды тұлғалардың, мемлекеттің заңды мүдделеріне қатер төндірмейді;</w:t>
      </w:r>
    </w:p>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5) елеулі бұзушылықтар – Қазақстан Республикасының лотереялар және лотерея қызметі туралы заңнамасының талаптарын бұзу, оларды сақтамау жеке және заңды тұлғалардың, мемлекеттің заңды мүдделеріне елеулі қатер төндірмейді;</w:t>
      </w:r>
    </w:p>
    <w:p>
      <w:pPr>
        <w:spacing w:after="0"/>
        <w:ind w:left="0"/>
        <w:jc w:val="both"/>
      </w:pPr>
      <w:r>
        <w:rPr>
          <w:rFonts w:ascii="Times New Roman"/>
          <w:b w:val="false"/>
          <w:i w:val="false"/>
          <w:color w:val="000000"/>
          <w:sz w:val="28"/>
        </w:rPr>
        <w:t>
      6) өрескел бұзушылықтар –жеке және заңды тұлғалардың, мемлекеттің құқықтарының, заңды мүдделерінің елеулі бұзылуына әкеп соғуы мүмкін Қазақстан Республикасының лотереялар және лотерея қызметі туралы заңнамасының талаптарын бұзу;</w:t>
      </w:r>
    </w:p>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8)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жеке бақылау субъектісіне (объектісіне) тікелей тәуелді болмайтын тәуекел дәрежесіне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субъектісін бақылау субъектісіне бару арқылы профилактикалық бақылаудан босату процесі;</w:t>
      </w:r>
    </w:p>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саласындағы бақылау субъектілерінің (объектілерінің) біртекті тобына жататын, бағаланатын субъектілердің (объектілердің)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1-қосымшасында</w:t>
      </w:r>
      <w:r>
        <w:rPr>
          <w:rFonts w:ascii="Times New Roman"/>
          <w:b w:val="false"/>
          <w:i w:val="false"/>
          <w:color w:val="000000"/>
          <w:sz w:val="28"/>
        </w:rPr>
        <w:t xml:space="preserve"> Қазақстан Республикасының лотереялар және лотерея қызметі туралы заңнамасының сақталуына тәуекел дәрежесін бағалау өлшемшарттарына:</w:t>
      </w:r>
    </w:p>
    <w:bookmarkStart w:name="z7" w:id="1"/>
    <w:p>
      <w:pPr>
        <w:spacing w:after="0"/>
        <w:ind w:left="0"/>
        <w:jc w:val="both"/>
      </w:pPr>
      <w:r>
        <w:rPr>
          <w:rFonts w:ascii="Times New Roman"/>
          <w:b w:val="false"/>
          <w:i w:val="false"/>
          <w:color w:val="000000"/>
          <w:sz w:val="28"/>
        </w:rPr>
        <w:t>
      реттiк нөмiрлері 1 және 2-жолдар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таратылған (іске асырылған)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жинауды, қалыптастыруды, сақтауды және есепке алуды қамтамасыз ету жөніндегі талаптарды сақтамауы және оны айына кемінде бір рет лотерея ақпаратын өңдеу орталығы арқылы лотерея есептілігі орталығына табыс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тапсырма шартының талаптарында тек қана он сегіз жасқа толған жеке тұлғалар арасында лотерея билеттерін, электрондық лотерея билеттерін тарату (іске асыру) бойынша лотерея таратушының (агенттің) міндеттемесінің болуы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реттiк нөмiрі 4-жол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лотереяны өткізу және лотереяға қатысушы сатып алған лотерея билетінің, электрондық лотерея билетінің негізінде ұтысты төлеу жөніндегі шарттарын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реттiк нөмiрі 9-жол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лотереяны таратушымен (агентпен), атап айтқанда жеке кәсіпкермен немесе лотерея билеттерін, электрондық лотерея билеттерін сыйақы үшін таратуды (өткізуді), ұтыс лотерея билеттерін, электрондық лотерея билеттерді тексеруді, сондай-ақ лотерея операторының атынан және оның есебінен ұтыстарды төлеуді жүзеге асыратын заңды тұлғамен тапсырма шартын жасасу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both"/>
      </w:pP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реттiк нөмiрі 14-жол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мынадай мәліметтерді қамтитын лотереяны өткізу шарттарын әзірлеу және бекіту жөніндегі талаптарды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өткізу тәсіліне, аумағына және технологиясына, сондай-ақ жүлде қорын қалыптастыру тәсіліне нұсқау;</w:t>
            </w:r>
          </w:p>
          <w:p>
            <w:pPr>
              <w:spacing w:after="20"/>
              <w:ind w:left="20"/>
              <w:jc w:val="both"/>
            </w:pPr>
            <w:r>
              <w:rPr>
                <w:rFonts w:ascii="Times New Roman"/>
                <w:b w:val="false"/>
                <w:i w:val="false"/>
                <w:color w:val="000000"/>
                <w:sz w:val="20"/>
              </w:rPr>
              <w:t>
3) лотерея операторының атауы оның орналасқан жері, банктік деректемелері, бизнес-сәйкестендіру нөмірі көрсетілуімен;</w:t>
            </w:r>
          </w:p>
          <w:p>
            <w:pPr>
              <w:spacing w:after="20"/>
              <w:ind w:left="20"/>
              <w:jc w:val="both"/>
            </w:pPr>
            <w:r>
              <w:rPr>
                <w:rFonts w:ascii="Times New Roman"/>
                <w:b w:val="false"/>
                <w:i w:val="false"/>
                <w:color w:val="000000"/>
                <w:sz w:val="20"/>
              </w:rPr>
              <w:t>
4) лотерея өткізілетін мерзімдері;</w:t>
            </w:r>
          </w:p>
          <w:p>
            <w:pPr>
              <w:spacing w:after="20"/>
              <w:ind w:left="20"/>
              <w:jc w:val="both"/>
            </w:pPr>
            <w:r>
              <w:rPr>
                <w:rFonts w:ascii="Times New Roman"/>
                <w:b w:val="false"/>
                <w:i w:val="false"/>
                <w:color w:val="000000"/>
                <w:sz w:val="20"/>
              </w:rPr>
              <w:t>
5) лотерея тұжырымдамасының сипаттамасы;</w:t>
            </w:r>
          </w:p>
          <w:p>
            <w:pPr>
              <w:spacing w:after="20"/>
              <w:ind w:left="20"/>
              <w:jc w:val="both"/>
            </w:pPr>
            <w:r>
              <w:rPr>
                <w:rFonts w:ascii="Times New Roman"/>
                <w:b w:val="false"/>
                <w:i w:val="false"/>
                <w:color w:val="000000"/>
                <w:sz w:val="20"/>
              </w:rPr>
              <w:t>
6) лотереяның ұйымдастырушылық-технологиялық сипаттамасы;</w:t>
            </w:r>
          </w:p>
          <w:p>
            <w:pPr>
              <w:spacing w:after="20"/>
              <w:ind w:left="20"/>
              <w:jc w:val="both"/>
            </w:pPr>
            <w:r>
              <w:rPr>
                <w:rFonts w:ascii="Times New Roman"/>
                <w:b w:val="false"/>
                <w:i w:val="false"/>
                <w:color w:val="000000"/>
                <w:sz w:val="20"/>
              </w:rPr>
              <w:t>
7) лотереяға қатысушылардың құқықтары мен міндеттері;</w:t>
            </w:r>
          </w:p>
          <w:p>
            <w:pPr>
              <w:spacing w:after="20"/>
              <w:ind w:left="20"/>
              <w:jc w:val="both"/>
            </w:pPr>
            <w:r>
              <w:rPr>
                <w:rFonts w:ascii="Times New Roman"/>
                <w:b w:val="false"/>
                <w:i w:val="false"/>
                <w:color w:val="000000"/>
                <w:sz w:val="20"/>
              </w:rPr>
              <w:t>
8) ұтыс деп танылған лотереяға қатысушыға ұтысты төлеу тәртібі мен мерзімдері, сондай-ақ ұтыс лотерея билеттеріне, электрондық лотерея билеттеріне сараптама жүргізу мерзімдері;</w:t>
            </w:r>
          </w:p>
          <w:p>
            <w:pPr>
              <w:spacing w:after="20"/>
              <w:ind w:left="20"/>
              <w:jc w:val="both"/>
            </w:pPr>
            <w:r>
              <w:rPr>
                <w:rFonts w:ascii="Times New Roman"/>
                <w:b w:val="false"/>
                <w:i w:val="false"/>
                <w:color w:val="000000"/>
                <w:sz w:val="20"/>
              </w:rPr>
              <w:t>
9) лотереяға қатысушыларды лотереяға қатысу қағидалары және жүлде қорын ұтысқа салу нәтижелері туралы хабардар ету тәртібі;</w:t>
            </w:r>
          </w:p>
          <w:p>
            <w:pPr>
              <w:spacing w:after="20"/>
              <w:ind w:left="20"/>
              <w:jc w:val="both"/>
            </w:pPr>
            <w:r>
              <w:rPr>
                <w:rFonts w:ascii="Times New Roman"/>
                <w:b w:val="false"/>
                <w:i w:val="false"/>
                <w:color w:val="000000"/>
                <w:sz w:val="20"/>
              </w:rPr>
              <w:t>
10) лотерея билеттерін, электрондық лотерея билеттерін тарату (жүзеге асыру) тәртібі;</w:t>
            </w:r>
          </w:p>
          <w:p>
            <w:pPr>
              <w:spacing w:after="20"/>
              <w:ind w:left="20"/>
              <w:jc w:val="both"/>
            </w:pPr>
            <w:r>
              <w:rPr>
                <w:rFonts w:ascii="Times New Roman"/>
                <w:b w:val="false"/>
                <w:i w:val="false"/>
                <w:color w:val="000000"/>
                <w:sz w:val="20"/>
              </w:rPr>
              <w:t>
11) лотерея билетінің, электрондық лотерея билетінің бағасы;</w:t>
            </w:r>
          </w:p>
          <w:p>
            <w:pPr>
              <w:spacing w:after="20"/>
              <w:ind w:left="20"/>
              <w:jc w:val="both"/>
            </w:pPr>
            <w:r>
              <w:rPr>
                <w:rFonts w:ascii="Times New Roman"/>
                <w:b w:val="false"/>
                <w:i w:val="false"/>
                <w:color w:val="000000"/>
                <w:sz w:val="20"/>
              </w:rPr>
              <w:t>
12) ұтыстың мөлшері мен нысанын (ақшалай немесе заттай);</w:t>
            </w:r>
          </w:p>
          <w:p>
            <w:pPr>
              <w:spacing w:after="20"/>
              <w:ind w:left="20"/>
              <w:jc w:val="both"/>
            </w:pPr>
            <w:r>
              <w:rPr>
                <w:rFonts w:ascii="Times New Roman"/>
                <w:b w:val="false"/>
                <w:i w:val="false"/>
                <w:color w:val="000000"/>
                <w:sz w:val="20"/>
              </w:rPr>
              <w:t>
13) жүлде қорының жоспарланып отырған мөлшері;</w:t>
            </w:r>
          </w:p>
          <w:p>
            <w:pPr>
              <w:spacing w:after="20"/>
              <w:ind w:left="20"/>
              <w:jc w:val="both"/>
            </w:pPr>
            <w:r>
              <w:rPr>
                <w:rFonts w:ascii="Times New Roman"/>
                <w:b w:val="false"/>
                <w:i w:val="false"/>
                <w:color w:val="000000"/>
                <w:sz w:val="20"/>
              </w:rPr>
              <w:t>
14) жүлде қорының ұтыс ойынын өткізу тәртібін, ұтыстарды айқындау алгоритмін, бас жүлдені қалыптастыру мен ұтысқа салу қағидалары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реттiк нөмiрі 16 -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сатылған лотерея билеттерінен, электрондық лотерея билеттерінен түскен түсімнің кемінде елу пайызы мөлшерінде не өз қаражаты есебінен жүлде қорын қалыптастыруды қамтамасыз ету жөніндегі міндеттемелерді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реттiк нөмiрлері 22, 23, 24 және 25-жолдар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электрондық лотерея билеттерін қоспағанда, лотерея билеттерінде төмендегідей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операторының атауы, орналасқан жері, телефон нөмірлері және интернет-ресурсы;</w:t>
            </w:r>
          </w:p>
          <w:p>
            <w:pPr>
              <w:spacing w:after="20"/>
              <w:ind w:left="20"/>
              <w:jc w:val="both"/>
            </w:pPr>
            <w:r>
              <w:rPr>
                <w:rFonts w:ascii="Times New Roman"/>
                <w:b w:val="false"/>
                <w:i w:val="false"/>
                <w:color w:val="000000"/>
                <w:sz w:val="20"/>
              </w:rPr>
              <w:t>
3) тираждың нөмірі немесе атауы (тираждық лотереялар үшін);</w:t>
            </w:r>
          </w:p>
          <w:p>
            <w:pPr>
              <w:spacing w:after="20"/>
              <w:ind w:left="20"/>
              <w:jc w:val="both"/>
            </w:pPr>
            <w:r>
              <w:rPr>
                <w:rFonts w:ascii="Times New Roman"/>
                <w:b w:val="false"/>
                <w:i w:val="false"/>
                <w:color w:val="000000"/>
                <w:sz w:val="20"/>
              </w:rPr>
              <w:t>
4) лотерея билетінің нөмірі;</w:t>
            </w:r>
          </w:p>
          <w:p>
            <w:pPr>
              <w:spacing w:after="20"/>
              <w:ind w:left="20"/>
              <w:jc w:val="both"/>
            </w:pPr>
            <w:r>
              <w:rPr>
                <w:rFonts w:ascii="Times New Roman"/>
                <w:b w:val="false"/>
                <w:i w:val="false"/>
                <w:color w:val="000000"/>
                <w:sz w:val="20"/>
              </w:rPr>
              <w:t>
5) лотерея билетінің бағасы;</w:t>
            </w:r>
          </w:p>
          <w:p>
            <w:pPr>
              <w:spacing w:after="20"/>
              <w:ind w:left="20"/>
              <w:jc w:val="both"/>
            </w:pPr>
            <w:r>
              <w:rPr>
                <w:rFonts w:ascii="Times New Roman"/>
                <w:b w:val="false"/>
                <w:i w:val="false"/>
                <w:color w:val="000000"/>
                <w:sz w:val="20"/>
              </w:rPr>
              <w:t>
6) жүлде қорының ұтыс ойынын өткізу күні мен орны (тираждық лотерея үшін);</w:t>
            </w:r>
          </w:p>
          <w:p>
            <w:pPr>
              <w:spacing w:after="20"/>
              <w:ind w:left="20"/>
              <w:jc w:val="both"/>
            </w:pPr>
            <w:r>
              <w:rPr>
                <w:rFonts w:ascii="Times New Roman"/>
                <w:b w:val="false"/>
                <w:i w:val="false"/>
                <w:color w:val="000000"/>
                <w:sz w:val="20"/>
              </w:rPr>
              <w:t>
7) ұтысты алу орны мен мерзімі туралы деректер;</w:t>
            </w:r>
          </w:p>
          <w:p>
            <w:pPr>
              <w:spacing w:after="20"/>
              <w:ind w:left="20"/>
              <w:jc w:val="both"/>
            </w:pPr>
            <w:r>
              <w:rPr>
                <w:rFonts w:ascii="Times New Roman"/>
                <w:b w:val="false"/>
                <w:i w:val="false"/>
                <w:color w:val="000000"/>
                <w:sz w:val="20"/>
              </w:rPr>
              <w:t>
8) жүлде қорының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электрондық лотерея билеттерінде төмендегідей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 операторының атауы;</w:t>
            </w:r>
          </w:p>
          <w:p>
            <w:pPr>
              <w:spacing w:after="20"/>
              <w:ind w:left="20"/>
              <w:jc w:val="both"/>
            </w:pPr>
            <w:r>
              <w:rPr>
                <w:rFonts w:ascii="Times New Roman"/>
                <w:b w:val="false"/>
                <w:i w:val="false"/>
                <w:color w:val="000000"/>
                <w:sz w:val="20"/>
              </w:rPr>
              <w:t>
2) электрондық лотерея билетінің нөмірі;</w:t>
            </w:r>
          </w:p>
          <w:p>
            <w:pPr>
              <w:spacing w:after="20"/>
              <w:ind w:left="20"/>
              <w:jc w:val="both"/>
            </w:pPr>
            <w:r>
              <w:rPr>
                <w:rFonts w:ascii="Times New Roman"/>
                <w:b w:val="false"/>
                <w:i w:val="false"/>
                <w:color w:val="000000"/>
                <w:sz w:val="20"/>
              </w:rPr>
              <w:t>
3) электрондық лотерея билетінің бағасы;</w:t>
            </w:r>
          </w:p>
          <w:p>
            <w:pPr>
              <w:spacing w:after="20"/>
              <w:ind w:left="20"/>
              <w:jc w:val="both"/>
            </w:pPr>
            <w:r>
              <w:rPr>
                <w:rFonts w:ascii="Times New Roman"/>
                <w:b w:val="false"/>
                <w:i w:val="false"/>
                <w:color w:val="000000"/>
                <w:sz w:val="20"/>
              </w:rPr>
              <w:t>
4) лотерея операторының орналасқан жері, телефон нөмірлері және интернет-ресурсы, лотереяның атауы, тираждың нөмірі немесе атауы (тираждық лотереялар үшін), жүлде қорының ұтыс ойынын өткізу күні мен орны (тираждық лотерея үшін), ұтысты алу орны мен мерзімдері, жүлде қорының мөлшері туралы кеңейтілген ақпаратқа қол жеткізуге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билеттерінде, электрондық лотерея билеттерінде қамтылған ақпараттың орфография және түпнұсқалық аударма нормаларының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Ұтысты анықтау мақсатында лотереяға қатысушы өзінің лотерея билетіндегі, электрондық лотерея билетіндегі лотерея комбинациясымен салыстыруға тиіс тираждық лотереясының жүлде қорын лотерея жабдығымен ұтыс ойынын кездейсоқ түрде ұтып алған лотерея комбинациясын генерациялау жолымен жүзеге асыру бойынша лотерея операторымен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реттiк нөмiрі 28-жол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жүлде қорының әрбір ұтыс ойынының және лотерея билеттері, тираждық лотереяның электрондық лотерея билеттері бойынша ұтыстарының нәтижелерін Қазақстан Республикасының бүкіл аумағында таратылатын мерзімді баспасөз басылымдарында үш жұмыс күні ішінде жариялау немесе лотерея операторының интернет-ресурсында көрсетілген ұтыс ойыны өткізілген сәттен бастап он екі сағат ішінде орналастыру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реттiк нөмiрі 30-жол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 өткізілген лотерея билеттерінен, электрондық лотерея билеттерінен түскен түсім мен жүлде қоры арасындағы айырманың кемінде он пайызын дене шынықтыру мен спортты дамытуға бағытталған бюджеттен тыс ақша қаражатын бөлу жөніндегі қызметті жүзеге асыратын бірыңғай операторға дене шынықтыру мен спортты дамыту үшін, сондай-ақ өткізілген лотерея билеттерінен, электрондық лотерея билеттерінен түскен түсім мен жүлде қоры арасындағы айырманың кемінде он пайызын "Қазақстан халқына" қоғамдық қорына міндетті мүліктік жарна нысанында тоқсан сайын жіберу міндеттерін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мынадай мазмұндағы реттiк нөмiрлерi 41 және 42-жолдармен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және лотерея қызметі саласындағы уәкілетті органмен лотерея өткізу жөніндегі келісу шарттарын, оған Қазақстан Республикасының лотереялар және лотерея қызметі туралы заңнамасына сәйкес өзгерістер мен толықтыруларды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билеттерін тарату (жүзеге асыру) және лотерея терминалдарын орнату жөніндегі талапты сақтамауы.</w:t>
            </w:r>
          </w:p>
          <w:p>
            <w:pPr>
              <w:spacing w:after="20"/>
              <w:ind w:left="20"/>
              <w:jc w:val="both"/>
            </w:pPr>
            <w:r>
              <w:rPr>
                <w:rFonts w:ascii="Times New Roman"/>
                <w:b w:val="false"/>
                <w:i w:val="false"/>
                <w:color w:val="000000"/>
                <w:sz w:val="20"/>
              </w:rPr>
              <w:t>
Мыналарда:</w:t>
            </w:r>
          </w:p>
          <w:p>
            <w:pPr>
              <w:spacing w:after="20"/>
              <w:ind w:left="20"/>
              <w:jc w:val="both"/>
            </w:pPr>
            <w:r>
              <w:rPr>
                <w:rFonts w:ascii="Times New Roman"/>
                <w:b w:val="false"/>
                <w:i w:val="false"/>
                <w:color w:val="000000"/>
                <w:sz w:val="20"/>
              </w:rPr>
              <w:t>
1) көппәтерлі тұрғын үйлерде, жатақханаларда;</w:t>
            </w:r>
          </w:p>
          <w:p>
            <w:pPr>
              <w:spacing w:after="20"/>
              <w:ind w:left="20"/>
              <w:jc w:val="both"/>
            </w:pPr>
            <w:r>
              <w:rPr>
                <w:rFonts w:ascii="Times New Roman"/>
                <w:b w:val="false"/>
                <w:i w:val="false"/>
                <w:color w:val="000000"/>
                <w:sz w:val="20"/>
              </w:rPr>
              <w:t>
2) білім беру ұйымдарында және олардан бір жүз метр радиуста;</w:t>
            </w:r>
          </w:p>
          <w:p>
            <w:pPr>
              <w:spacing w:after="20"/>
              <w:ind w:left="20"/>
              <w:jc w:val="both"/>
            </w:pPr>
            <w:r>
              <w:rPr>
                <w:rFonts w:ascii="Times New Roman"/>
                <w:b w:val="false"/>
                <w:i w:val="false"/>
                <w:color w:val="000000"/>
                <w:sz w:val="20"/>
              </w:rPr>
              <w:t>
3) денсаулық сақтау ұйымдарында және олардан бір жүз метр радиуста;</w:t>
            </w:r>
          </w:p>
          <w:p>
            <w:pPr>
              <w:spacing w:after="20"/>
              <w:ind w:left="20"/>
              <w:jc w:val="both"/>
            </w:pPr>
            <w:r>
              <w:rPr>
                <w:rFonts w:ascii="Times New Roman"/>
                <w:b w:val="false"/>
                <w:i w:val="false"/>
                <w:color w:val="000000"/>
                <w:sz w:val="20"/>
              </w:rPr>
              <w:t>
4) ғибадат ғимараттарында (құрылысжайларында);</w:t>
            </w:r>
          </w:p>
          <w:p>
            <w:pPr>
              <w:spacing w:after="20"/>
              <w:ind w:left="20"/>
              <w:jc w:val="both"/>
            </w:pPr>
            <w:r>
              <w:rPr>
                <w:rFonts w:ascii="Times New Roman"/>
                <w:b w:val="false"/>
                <w:i w:val="false"/>
                <w:color w:val="000000"/>
                <w:sz w:val="20"/>
              </w:rPr>
              <w:t>
5) мәдениет ұйымдары орналасқан жеке тұрған ғимараттар мен құрылысжайларда лотерея билеттерін таратуға, ал лотерея терминалдарын орнатуға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2-қосымшасына</w:t>
      </w:r>
      <w:r>
        <w:rPr>
          <w:rFonts w:ascii="Times New Roman"/>
          <w:b w:val="false"/>
          <w:i w:val="false"/>
          <w:color w:val="000000"/>
          <w:sz w:val="28"/>
        </w:rPr>
        <w:t xml:space="preserve"> сәйкес лотерея операторына қатысты Қазақстан Республикасының лотереялар және лотерея қызметі туралы заңнамасын сақтаудың тексеру парағында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bookmarkStart w:name="z17" w:id="10"/>
    <w:p>
      <w:pPr>
        <w:spacing w:after="0"/>
        <w:ind w:left="0"/>
        <w:jc w:val="both"/>
      </w:pPr>
      <w:r>
        <w:rPr>
          <w:rFonts w:ascii="Times New Roman"/>
          <w:b w:val="false"/>
          <w:i w:val="false"/>
          <w:color w:val="000000"/>
          <w:sz w:val="28"/>
        </w:rPr>
        <w:t>
      реттiк нөмiрі 1-жол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тапсырма шартының талаптарында тек қана он сегіз жасқа толған жеке тұлғалар арасында лотерея билеттерін, электрондық лотерея билеттерін тарату (іске асыру) бойынша лотерея таратушының (агенттің) міндеттемесінің болуы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реттiк нөмiрі 3-жол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лотереяны өткізу және лотереяға қатысушы сатып алған лотерея билетінің, электрондық лотерея билетінің негізінде ұтысты төлеу жөніндегі шарттарын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реттiк нөмiрі 8-жол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лотереяны таратушымен (агентпен), атап айтқанда жеке кәсіпкермен немесе лотерея билеттерін, электрондық лотерея билеттерін сыйақы үшін таратуды (өткізуді), ұтыс лотерея билеттерін, электрондық лотерея билеттерді тексеруді, сондай-ақ лотерея операторының атынан және оның есебінен ұтыстарды төлеуді жүзеге асыратын заңды тұлғамен тапсырма шартын жасасу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реттiк нөмiрі 13-жол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мынадай мәліметтерді қамтитын лотереяны өткізу шарттарын әзірлеу және бекіту жөніндегі талаптарды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өткізу тәсіліне, аумағына және технологиясына, сондай-ақ жүлде қорын қалыптастыру тәсіліне нұсқау;</w:t>
            </w:r>
          </w:p>
          <w:p>
            <w:pPr>
              <w:spacing w:after="20"/>
              <w:ind w:left="20"/>
              <w:jc w:val="both"/>
            </w:pPr>
            <w:r>
              <w:rPr>
                <w:rFonts w:ascii="Times New Roman"/>
                <w:b w:val="false"/>
                <w:i w:val="false"/>
                <w:color w:val="000000"/>
                <w:sz w:val="20"/>
              </w:rPr>
              <w:t>
3) лотерея операторының атауы оның орналасқан жері, банктік деректемелері, бизнес-сәйкестендіру нөмірі көрсетілуімен;</w:t>
            </w:r>
          </w:p>
          <w:p>
            <w:pPr>
              <w:spacing w:after="20"/>
              <w:ind w:left="20"/>
              <w:jc w:val="both"/>
            </w:pPr>
            <w:r>
              <w:rPr>
                <w:rFonts w:ascii="Times New Roman"/>
                <w:b w:val="false"/>
                <w:i w:val="false"/>
                <w:color w:val="000000"/>
                <w:sz w:val="20"/>
              </w:rPr>
              <w:t>
4) лотерея өткізілетін мерзімдері;</w:t>
            </w:r>
          </w:p>
          <w:p>
            <w:pPr>
              <w:spacing w:after="20"/>
              <w:ind w:left="20"/>
              <w:jc w:val="both"/>
            </w:pPr>
            <w:r>
              <w:rPr>
                <w:rFonts w:ascii="Times New Roman"/>
                <w:b w:val="false"/>
                <w:i w:val="false"/>
                <w:color w:val="000000"/>
                <w:sz w:val="20"/>
              </w:rPr>
              <w:t>
5) лотерея тұжырымдамасының сипаттамасы;</w:t>
            </w:r>
          </w:p>
          <w:p>
            <w:pPr>
              <w:spacing w:after="20"/>
              <w:ind w:left="20"/>
              <w:jc w:val="both"/>
            </w:pPr>
            <w:r>
              <w:rPr>
                <w:rFonts w:ascii="Times New Roman"/>
                <w:b w:val="false"/>
                <w:i w:val="false"/>
                <w:color w:val="000000"/>
                <w:sz w:val="20"/>
              </w:rPr>
              <w:t>
6) лотереяның ұйымдастырушылық-технологиялық сипаттамасы;</w:t>
            </w:r>
          </w:p>
          <w:p>
            <w:pPr>
              <w:spacing w:after="20"/>
              <w:ind w:left="20"/>
              <w:jc w:val="both"/>
            </w:pPr>
            <w:r>
              <w:rPr>
                <w:rFonts w:ascii="Times New Roman"/>
                <w:b w:val="false"/>
                <w:i w:val="false"/>
                <w:color w:val="000000"/>
                <w:sz w:val="20"/>
              </w:rPr>
              <w:t>
7) лотереяға қатысушылардың құқықтары мен міндеттері;</w:t>
            </w:r>
          </w:p>
          <w:p>
            <w:pPr>
              <w:spacing w:after="20"/>
              <w:ind w:left="20"/>
              <w:jc w:val="both"/>
            </w:pPr>
            <w:r>
              <w:rPr>
                <w:rFonts w:ascii="Times New Roman"/>
                <w:b w:val="false"/>
                <w:i w:val="false"/>
                <w:color w:val="000000"/>
                <w:sz w:val="20"/>
              </w:rPr>
              <w:t>
8) ұтыс деп танылған лотереяға қатысушыға ұтысты төлеу тәртібі мен мерзімдері, сондай-ақ ұтыс лотерея билеттеріне, электрондық лотерея билеттеріне сараптама жүргізу мерзімдері;</w:t>
            </w:r>
          </w:p>
          <w:p>
            <w:pPr>
              <w:spacing w:after="20"/>
              <w:ind w:left="20"/>
              <w:jc w:val="both"/>
            </w:pPr>
            <w:r>
              <w:rPr>
                <w:rFonts w:ascii="Times New Roman"/>
                <w:b w:val="false"/>
                <w:i w:val="false"/>
                <w:color w:val="000000"/>
                <w:sz w:val="20"/>
              </w:rPr>
              <w:t>
9) лотереяға қатысушыларды лотереяға қатысу қағидалары және жүлде қорын ұтысқа салу нәтижелері туралы хабардар ету тәртібі;</w:t>
            </w:r>
          </w:p>
          <w:p>
            <w:pPr>
              <w:spacing w:after="20"/>
              <w:ind w:left="20"/>
              <w:jc w:val="both"/>
            </w:pPr>
            <w:r>
              <w:rPr>
                <w:rFonts w:ascii="Times New Roman"/>
                <w:b w:val="false"/>
                <w:i w:val="false"/>
                <w:color w:val="000000"/>
                <w:sz w:val="20"/>
              </w:rPr>
              <w:t>
10) лотерея билеттерін, электрондық лотерея билеттерін тарату (жүзеге асыру) тәртібі;</w:t>
            </w:r>
          </w:p>
          <w:p>
            <w:pPr>
              <w:spacing w:after="20"/>
              <w:ind w:left="20"/>
              <w:jc w:val="both"/>
            </w:pPr>
            <w:r>
              <w:rPr>
                <w:rFonts w:ascii="Times New Roman"/>
                <w:b w:val="false"/>
                <w:i w:val="false"/>
                <w:color w:val="000000"/>
                <w:sz w:val="20"/>
              </w:rPr>
              <w:t>
11) лотерея билетінің, электрондық лотерея билетінің бағасы;</w:t>
            </w:r>
          </w:p>
          <w:p>
            <w:pPr>
              <w:spacing w:after="20"/>
              <w:ind w:left="20"/>
              <w:jc w:val="both"/>
            </w:pPr>
            <w:r>
              <w:rPr>
                <w:rFonts w:ascii="Times New Roman"/>
                <w:b w:val="false"/>
                <w:i w:val="false"/>
                <w:color w:val="000000"/>
                <w:sz w:val="20"/>
              </w:rPr>
              <w:t>
12) ұтыстың мөлшері мен нысанын (ақшалай немесе заттай);</w:t>
            </w:r>
          </w:p>
          <w:p>
            <w:pPr>
              <w:spacing w:after="20"/>
              <w:ind w:left="20"/>
              <w:jc w:val="both"/>
            </w:pPr>
            <w:r>
              <w:rPr>
                <w:rFonts w:ascii="Times New Roman"/>
                <w:b w:val="false"/>
                <w:i w:val="false"/>
                <w:color w:val="000000"/>
                <w:sz w:val="20"/>
              </w:rPr>
              <w:t>
13) жүлде қорының жоспарланып отырған мөлшері;</w:t>
            </w:r>
          </w:p>
          <w:p>
            <w:pPr>
              <w:spacing w:after="20"/>
              <w:ind w:left="20"/>
              <w:jc w:val="both"/>
            </w:pPr>
            <w:r>
              <w:rPr>
                <w:rFonts w:ascii="Times New Roman"/>
                <w:b w:val="false"/>
                <w:i w:val="false"/>
                <w:color w:val="000000"/>
                <w:sz w:val="20"/>
              </w:rPr>
              <w:t>
14) жүлде қорының ұтыс ойынын өткізу тәртібін, ұтыстарды айқындау алгоритмін, бас жүлдені қалыптастыру мен ұтысқа салу қағидалары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реттiк нөмiрі 15-жол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сатылған лотерея билеттерінен, электрондық лотерея билеттерінен түскен түсімнің кемінде елу пайызы мөлшерінде не өз қаражаты есебінен жүлде қорын қалыптастыруды қамтамасыз ету жөніндегі міндеттемелерді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реттiк нөмiрлері 21, 22, 23 және 24-жолдар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электрондық лотерея билеттерін қоспағанда, лотерея билеттерінде төмендегідей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операторының атауы, орналасқан жері, телефон нөмірлері және интернет-ресурсы;</w:t>
            </w:r>
          </w:p>
          <w:p>
            <w:pPr>
              <w:spacing w:after="20"/>
              <w:ind w:left="20"/>
              <w:jc w:val="both"/>
            </w:pPr>
            <w:r>
              <w:rPr>
                <w:rFonts w:ascii="Times New Roman"/>
                <w:b w:val="false"/>
                <w:i w:val="false"/>
                <w:color w:val="000000"/>
                <w:sz w:val="20"/>
              </w:rPr>
              <w:t>
3) тираждың нөмірі немесе атауы (тираждық лотереялар үшін);</w:t>
            </w:r>
          </w:p>
          <w:p>
            <w:pPr>
              <w:spacing w:after="20"/>
              <w:ind w:left="20"/>
              <w:jc w:val="both"/>
            </w:pPr>
            <w:r>
              <w:rPr>
                <w:rFonts w:ascii="Times New Roman"/>
                <w:b w:val="false"/>
                <w:i w:val="false"/>
                <w:color w:val="000000"/>
                <w:sz w:val="20"/>
              </w:rPr>
              <w:t>
4) лотерея билетінің нөмірі;</w:t>
            </w:r>
          </w:p>
          <w:p>
            <w:pPr>
              <w:spacing w:after="20"/>
              <w:ind w:left="20"/>
              <w:jc w:val="both"/>
            </w:pPr>
            <w:r>
              <w:rPr>
                <w:rFonts w:ascii="Times New Roman"/>
                <w:b w:val="false"/>
                <w:i w:val="false"/>
                <w:color w:val="000000"/>
                <w:sz w:val="20"/>
              </w:rPr>
              <w:t>
5) лотерея билетінің бағасы;</w:t>
            </w:r>
          </w:p>
          <w:p>
            <w:pPr>
              <w:spacing w:after="20"/>
              <w:ind w:left="20"/>
              <w:jc w:val="both"/>
            </w:pPr>
            <w:r>
              <w:rPr>
                <w:rFonts w:ascii="Times New Roman"/>
                <w:b w:val="false"/>
                <w:i w:val="false"/>
                <w:color w:val="000000"/>
                <w:sz w:val="20"/>
              </w:rPr>
              <w:t>
6) жүлде қорының ұтыс ойынын өткізу күні мен орны (тираждық лотерея үшін);</w:t>
            </w:r>
          </w:p>
          <w:p>
            <w:pPr>
              <w:spacing w:after="20"/>
              <w:ind w:left="20"/>
              <w:jc w:val="both"/>
            </w:pPr>
            <w:r>
              <w:rPr>
                <w:rFonts w:ascii="Times New Roman"/>
                <w:b w:val="false"/>
                <w:i w:val="false"/>
                <w:color w:val="000000"/>
                <w:sz w:val="20"/>
              </w:rPr>
              <w:t>
7) ұтысты алу орны мен мерзімі туралы деректер;</w:t>
            </w:r>
          </w:p>
          <w:p>
            <w:pPr>
              <w:spacing w:after="20"/>
              <w:ind w:left="20"/>
              <w:jc w:val="both"/>
            </w:pPr>
            <w:r>
              <w:rPr>
                <w:rFonts w:ascii="Times New Roman"/>
                <w:b w:val="false"/>
                <w:i w:val="false"/>
                <w:color w:val="000000"/>
                <w:sz w:val="20"/>
              </w:rPr>
              <w:t>
8) жүлде қорының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электрондық лотерея билеттерінде төмендегідей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 операторының атауы;</w:t>
            </w:r>
          </w:p>
          <w:p>
            <w:pPr>
              <w:spacing w:after="20"/>
              <w:ind w:left="20"/>
              <w:jc w:val="both"/>
            </w:pPr>
            <w:r>
              <w:rPr>
                <w:rFonts w:ascii="Times New Roman"/>
                <w:b w:val="false"/>
                <w:i w:val="false"/>
                <w:color w:val="000000"/>
                <w:sz w:val="20"/>
              </w:rPr>
              <w:t>
2) электрондық лотерея билетінің нөмірі;</w:t>
            </w:r>
          </w:p>
          <w:p>
            <w:pPr>
              <w:spacing w:after="20"/>
              <w:ind w:left="20"/>
              <w:jc w:val="both"/>
            </w:pPr>
            <w:r>
              <w:rPr>
                <w:rFonts w:ascii="Times New Roman"/>
                <w:b w:val="false"/>
                <w:i w:val="false"/>
                <w:color w:val="000000"/>
                <w:sz w:val="20"/>
              </w:rPr>
              <w:t>
3) электрондық лотерея билетінің бағасы;</w:t>
            </w:r>
          </w:p>
          <w:p>
            <w:pPr>
              <w:spacing w:after="20"/>
              <w:ind w:left="20"/>
              <w:jc w:val="both"/>
            </w:pPr>
            <w:r>
              <w:rPr>
                <w:rFonts w:ascii="Times New Roman"/>
                <w:b w:val="false"/>
                <w:i w:val="false"/>
                <w:color w:val="000000"/>
                <w:sz w:val="20"/>
              </w:rPr>
              <w:t>
4) лотерея операторының орналасқан жері, телефон нөмірлері және интернет-ресурсы, лотереяның атауы, тираждың нөмірі немесе атауы (тираждық лотереялар үшін), жүлде қорының ұтыс ойынын өткізу күні мен орны (тираждық лотерея үшін), ұтысты алу орны мен мерзімдері, жүлде қорының мөлшері туралы кеңейтілген ақпаратқа қол жеткізуге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билеттерінде, электрондық лотерея билеттерінде қамтылған ақпараттың орфография және түпнұсқалық аударма нормаларының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Ұтысты анықтау мақсатында лотереяға қатысушы өзінің лотерея билетіндегі, электрондық лотерея билетіндегі лотерея комбинациясымен салыстыруға тиіс тираждық лотереясының жүлде қорын лотерея жабдығымен ұтыс ойынын кездейсоқ түрде ұтып алған лотерея комбинациясын генерациялау жолымен жүзеге асыру бойынша лотерея операторымен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реттiк нөмiрі 27-жол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жүлде қорының әрбір ұтыс ойынының және лотерея билеттері, тираждық лотереяның электрондық лотерея билеттері бойынша ұтыстарының нәтижелерін Қазақстан Республикасының бүкіл аумағында таратылатын мерзімді баспасөз басылымдарында үш жұмыс күні ішінде жариялау немесе лотерея операторының интернет-ресурсында көрсетілген ұтыс ойыны өткізілген сәттен бастап он екі сағат ішінде орналастыру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реттiк нөмiрі 29-жол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 өткізілген лотерея билеттерінен, электрондық лотерея билеттерінен түскен түсім мен жүлде қоры арасындағы айырманың кемінде он пайызын дене шынықтыру мен спортты дамытуға бағытталған бюджеттен тыс ақша қаражатын бөлу жөніндегі қызметті жүзеге асыратын бірыңғай операторға дене шынықтыру мен спортты дамыту үшін, сондай-ақ өткізілген лотерея билеттерінен, электрондық лотерея билеттерінен түскен түсім мен жүлде қоры арасындағы айырманың кемінде он пайызын "Қазақстан халқына" қоғамдық қорына міндетті мүліктік жарна нысанында тоқсан сайын жіберу міндеттерін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мынадай мазмұндағы реттiк нөмiрлерi 40, 41 және 42-жолдармен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таратылған (іске асырылған)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жинауды, қалыптастыруды, сақтауды және есепке алуды қамтамасыз ету жөніндегі талаптарды сақтамауы және оны айына кемінде бір рет лотерея ақпаратын өңдеу орталығы арқылы лотерея есептілігі орталығына табыс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және лотерея қызметі саласындағы уәкілетті органмен лотерея өткізу жөніндегі келісу шарттарын, оған Қазақстан Республикасының лотереялар және лотерея қызметі туралы заңнамасына сәйкес өзгерістер мен толықтыруларды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операторымен лотерея билеттерін тарату (жүзеге асыру) және лотерея терминалдарын орнату жөніндегі талапты сақтамауы.</w:t>
            </w:r>
          </w:p>
          <w:p>
            <w:pPr>
              <w:spacing w:after="20"/>
              <w:ind w:left="20"/>
              <w:jc w:val="both"/>
            </w:pPr>
            <w:r>
              <w:rPr>
                <w:rFonts w:ascii="Times New Roman"/>
                <w:b w:val="false"/>
                <w:i w:val="false"/>
                <w:color w:val="000000"/>
                <w:sz w:val="20"/>
              </w:rPr>
              <w:t>
Мыналарда:</w:t>
            </w:r>
          </w:p>
          <w:p>
            <w:pPr>
              <w:spacing w:after="20"/>
              <w:ind w:left="20"/>
              <w:jc w:val="both"/>
            </w:pPr>
            <w:r>
              <w:rPr>
                <w:rFonts w:ascii="Times New Roman"/>
                <w:b w:val="false"/>
                <w:i w:val="false"/>
                <w:color w:val="000000"/>
                <w:sz w:val="20"/>
              </w:rPr>
              <w:t>
1) көппәтерлі тұрғын үйлерде, жатақханаларда;</w:t>
            </w:r>
          </w:p>
          <w:p>
            <w:pPr>
              <w:spacing w:after="20"/>
              <w:ind w:left="20"/>
              <w:jc w:val="both"/>
            </w:pPr>
            <w:r>
              <w:rPr>
                <w:rFonts w:ascii="Times New Roman"/>
                <w:b w:val="false"/>
                <w:i w:val="false"/>
                <w:color w:val="000000"/>
                <w:sz w:val="20"/>
              </w:rPr>
              <w:t>
2) білім беру ұйымдарында және олардан бір жүз метр радиуста;</w:t>
            </w:r>
          </w:p>
          <w:p>
            <w:pPr>
              <w:spacing w:after="20"/>
              <w:ind w:left="20"/>
              <w:jc w:val="both"/>
            </w:pPr>
            <w:r>
              <w:rPr>
                <w:rFonts w:ascii="Times New Roman"/>
                <w:b w:val="false"/>
                <w:i w:val="false"/>
                <w:color w:val="000000"/>
                <w:sz w:val="20"/>
              </w:rPr>
              <w:t>
3) денсаулық сақтау ұйымдарында және олардан бір жүз метр радиуста;</w:t>
            </w:r>
          </w:p>
          <w:p>
            <w:pPr>
              <w:spacing w:after="20"/>
              <w:ind w:left="20"/>
              <w:jc w:val="both"/>
            </w:pPr>
            <w:r>
              <w:rPr>
                <w:rFonts w:ascii="Times New Roman"/>
                <w:b w:val="false"/>
                <w:i w:val="false"/>
                <w:color w:val="000000"/>
                <w:sz w:val="20"/>
              </w:rPr>
              <w:t>
4) ғибадат ғимараттарында (құрылысжайларында);</w:t>
            </w:r>
          </w:p>
          <w:p>
            <w:pPr>
              <w:spacing w:after="20"/>
              <w:ind w:left="20"/>
              <w:jc w:val="both"/>
            </w:pPr>
            <w:r>
              <w:rPr>
                <w:rFonts w:ascii="Times New Roman"/>
                <w:b w:val="false"/>
                <w:i w:val="false"/>
                <w:color w:val="000000"/>
                <w:sz w:val="20"/>
              </w:rPr>
              <w:t>
5) мәдениет ұйымдары орналасқан жеке тұрған ғимараттар мен құрылысжайларда лотерея билеттерін таратуға, ал лотерея терминалдарын орнатуға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заңнамамен белгіленген тәртіппен:</w:t>
      </w:r>
    </w:p>
    <w:bookmarkEnd w:id="19"/>
    <w:bookmarkStart w:name="z27" w:id="20"/>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0"/>
    <w:bookmarkStart w:name="z28" w:id="21"/>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21"/>
    <w:bookmarkStart w:name="z29" w:id="22"/>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22"/>
    <w:bookmarkStart w:name="z30" w:id="2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туризм және спорт министрінің орынбасарына жүктелсін.</w:t>
      </w:r>
    </w:p>
    <w:bookmarkEnd w:id="23"/>
    <w:bookmarkStart w:name="z31" w:id="2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