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f352" w14:textId="1f8f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нұсқаулықты бекіту туралы" Қазақстан Республикасы Денсаулық сақтау министрінің 2022 жылғы 3 мамырдағы № ҚР ДСМ-40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14 қазандағы № 83 бұйрығы. Қазақстан Республикасының Әділет министрлігінде 2024 жылғы 15 қазанда № 35259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нұсқаулықты бекіту туралы" Қазақстан Республикасы Денсаулық сақтау министрінің 2022 жылғы 3 мамырдағы № ҚР ДСМ-40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27947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электрондық нұсқада бір уақытта әзірлене отырып, екі данада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"4) төртінші топтағы денсаулық сақтау объектілері – білім алушылардың және персоналдың нақты саны 100 (жүз) және одан да көп адам болатын денсаулық сақтау саласындағы білім беру ұйымдары, бір ауысымда 200 (екі жүз) және одан да көп адам қабылдауға есептелген денсаулық сақтау ұйымдары; 200 (екі жүз) және одан да көп төсекке есептелген стационарлық көмек көрсететін ұйымдар (егер олар басқа өлшемшарттарға жатпайтын болса, ведомстволық денсаулық сақтау объектілері).";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2" w:id="3"/>
    <w:p>
      <w:pPr>
        <w:spacing w:after="0"/>
        <w:ind w:left="0"/>
        <w:jc w:val="both"/>
      </w:pPr>
      <w:r>
        <w:rPr>
          <w:rFonts w:ascii="Times New Roman"/>
          <w:b w:val="false"/>
          <w:i w:val="false"/>
          <w:color w:val="000000"/>
          <w:sz w:val="28"/>
        </w:rPr>
        <w:t>
      2. Қазақстан Республикасы Денсаулық сақтау министрлігінің Жұмылдыру жұмысы және азаматтық қорғаныс басқармасы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10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