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3fd9" w14:textId="9593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4 қарашадағы № 97 бұйрығы. Қазақстан Республикасының Әділет министрлігінде 2024 жылғы 5 қарашада № 35331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10545 болып тіркелген) мынадай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w:t>
      </w:r>
      <w:r>
        <w:rPr>
          <w:rFonts w:ascii="Times New Roman"/>
          <w:b w:val="false"/>
          <w:i w:val="false"/>
          <w:color w:val="000000"/>
          <w:sz w:val="28"/>
        </w:rPr>
        <w:t>нормативінде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"4. Қазақстан Республикасының Заңымен ратификацияланған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 шеңберінде қызметін жүзеге асыратын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үшін 2022-2027 жылдардың қорытындысы бойынша таза кірістің бір бөлігін аудару нормативі 1 пайыз мөлшерінде белгіленсін.";</w:t>
      </w:r>
    </w:p>
    <w:bookmarkEnd w:id="3"/>
    <w:bookmarkStart w:name="z5" w:id="4"/>
    <w:p>
      <w:pPr>
        <w:spacing w:after="0"/>
        <w:ind w:left="0"/>
        <w:jc w:val="both"/>
      </w:pPr>
      <w:r>
        <w:rPr>
          <w:rFonts w:ascii="Times New Roman"/>
          <w:b w:val="false"/>
          <w:i w:val="false"/>
          <w:color w:val="000000"/>
          <w:sz w:val="28"/>
        </w:rPr>
        <w:t>
      мынадай мазмұндағы 6-тармақпен толықтырылсын:</w:t>
      </w:r>
    </w:p>
    <w:bookmarkEnd w:id="4"/>
    <w:bookmarkStart w:name="z6" w:id="5"/>
    <w:p>
      <w:pPr>
        <w:spacing w:after="0"/>
        <w:ind w:left="0"/>
        <w:jc w:val="both"/>
      </w:pPr>
      <w:r>
        <w:rPr>
          <w:rFonts w:ascii="Times New Roman"/>
          <w:b w:val="false"/>
          <w:i w:val="false"/>
          <w:color w:val="000000"/>
          <w:sz w:val="28"/>
        </w:rPr>
        <w:t>
      "6. Қазақстан Республикасы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үшін 2023-2025 жылдардың қорытындысы бойынша таза кірістің бір бөлігін аудару нормативі 0,5 % мөлшерінде белгіленсін.".</w:t>
      </w:r>
    </w:p>
    <w:bookmarkEnd w:id="5"/>
    <w:bookmarkStart w:name="z7" w:id="6"/>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2024 жылғы 1 сәуірден бастап туындаған құқықтық қатынастарға қолданылатын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абзацын қоспағанда,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