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da0a" w14:textId="9afd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саласындағы біліктілік талаптарына сәйкестігіне бақылау саласындағы тәуекел дәрежесін бағалау өлшемшарттарын және тексеру парақтарын бекіту туралы" Қазақстан Республикасы Энергетика министрінің міндетін атқарушының 2022 жылғы 29 қарашадағы № 387 және Қазақстан Республикасы Ұлттық экономика министрінің міндетін атқарушының 2022 жылғы 30 қарашадағы № 96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27 желтоқсандағы № 493 және Қазақстан Республикасы Ұлттық экономика министрінің м.а. 2024 жылғы 30 желтоқсандағы № 120 бірлескен бұйрығы. Қазақстан Республикасының Әділет министрлігінде 2024 жылғы 31 желтоқсанда № 35600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"Көмірсутектер саласындағы біліктілік талаптарына сәйкестігіне бақылау саласындағы тәуекел дәрежесін бағалау өлшемшарттарын және тексеру парақтарын бекіту туралы" Қазақстан Республикасы Энергетика министрінің міндетін атқарушының 2022 жылғы 29 қарашадағы № 387 және Қазақстан Республикасы Ұлттық экономика министрінің міндетін атқарушының 2022 жылғы 30 қарашадағы № 96 </w:t>
      </w:r>
      <w:r>
        <w:rPr>
          <w:rFonts w:ascii="Times New Roman"/>
          <w:b w:val="false"/>
          <w:i w:val="false"/>
          <w:color w:val="000000"/>
          <w:sz w:val="28"/>
        </w:rPr>
        <w:t>бірлескен бұйрығына</w:t>
      </w:r>
      <w:r>
        <w:rPr>
          <w:rFonts w:ascii="Times New Roman"/>
          <w:b w:val="false"/>
          <w:i w:val="false"/>
          <w:color w:val="000000"/>
          <w:sz w:val="28"/>
        </w:rPr>
        <w:t xml:space="preserve"> (Hормативтік құқықтық актілерді мемлекеттік тіркеу тізілімінде № 30854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"Көмірсутектер саласындағы тәуекел дәрежесін бағалау өлшемшарттарын және тексеру парақтарын бекіту туралы";</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жасылсын:</w:t>
      </w:r>
    </w:p>
    <w:bookmarkEnd w:id="3"/>
    <w:bookmarkStart w:name="z6" w:id="4"/>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тәуекел дәрежесін бағалау өлшемшарттары;";</w:t>
      </w:r>
    </w:p>
    <w:bookmarkEnd w:id="4"/>
    <w:bookmarkStart w:name="z7" w:id="5"/>
    <w:p>
      <w:pPr>
        <w:spacing w:after="0"/>
        <w:ind w:left="0"/>
        <w:jc w:val="both"/>
      </w:pPr>
      <w:r>
        <w:rPr>
          <w:rFonts w:ascii="Times New Roman"/>
          <w:b w:val="false"/>
          <w:i w:val="false"/>
          <w:color w:val="000000"/>
          <w:sz w:val="28"/>
        </w:rPr>
        <w:t xml:space="preserve">
      көрсетілген бірлескен бұйрықпен бекітілген Көмірсутектер саласындағы біліктілік талаптарына сәйкестігіне бақылау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9" w:id="6"/>
    <w:p>
      <w:pPr>
        <w:spacing w:after="0"/>
        <w:ind w:left="0"/>
        <w:jc w:val="both"/>
      </w:pPr>
      <w:r>
        <w:rPr>
          <w:rFonts w:ascii="Times New Roman"/>
          <w:b w:val="false"/>
          <w:i w:val="false"/>
          <w:color w:val="000000"/>
          <w:sz w:val="28"/>
        </w:rPr>
        <w:t>
      "Көмірсутектер саласындағы тәуекел дәрежесін бағалау өлшемшарттары";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 w:id="7"/>
    <w:p>
      <w:pPr>
        <w:spacing w:after="0"/>
        <w:ind w:left="0"/>
        <w:jc w:val="both"/>
      </w:pPr>
      <w:r>
        <w:rPr>
          <w:rFonts w:ascii="Times New Roman"/>
          <w:b w:val="false"/>
          <w:i w:val="false"/>
          <w:color w:val="000000"/>
          <w:sz w:val="28"/>
        </w:rPr>
        <w:t xml:space="preserve">
      "1. Осы Көмірсутектер саласындағы тәуекел дәрежесін бағалау өлшемшарттары (бұдан әрі – Өлшемшарттар) Қазақстан Республикасының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Ұлттық экономика министрінің м.а.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 28577 болып тіркелген), Қазақстан Республикасы Энергетика министрінің 2014 жылғы 28 қазандағы № 77 </w:t>
      </w:r>
      <w:r>
        <w:rPr>
          <w:rFonts w:ascii="Times New Roman"/>
          <w:b w:val="false"/>
          <w:i w:val="false"/>
          <w:color w:val="000000"/>
          <w:sz w:val="28"/>
        </w:rPr>
        <w:t>бұйрығымен</w:t>
      </w:r>
      <w:r>
        <w:rPr>
          <w:rFonts w:ascii="Times New Roman"/>
          <w:b w:val="false"/>
          <w:i w:val="false"/>
          <w:color w:val="000000"/>
          <w:sz w:val="28"/>
        </w:rPr>
        <w:t xml:space="preserve"> бекітілген Көмірсутектер саласындағы қызметті жүзеге асыру үшін қойылатын біліктілік талаптары мен оларға сәйкестікті растайтын құжаттар тізбесіне (Нормативтік құқықтық актілерді мемлекеттік тіркеу тізілімінде № 9998 болып тіркелген) сәйкес көмірсутектер саласындағы біліктілік талаптарына сәйкестігіне бақылау саласындағы бақылау субъектілерін (объектілерін) тәуекел дәрежелеріне жатқызу мақсатында әзірленді.";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3" w:id="8"/>
    <w:p>
      <w:pPr>
        <w:spacing w:after="0"/>
        <w:ind w:left="0"/>
        <w:jc w:val="both"/>
      </w:pPr>
      <w:r>
        <w:rPr>
          <w:rFonts w:ascii="Times New Roman"/>
          <w:b w:val="false"/>
          <w:i w:val="false"/>
          <w:color w:val="000000"/>
          <w:sz w:val="28"/>
        </w:rPr>
        <w:t>
      "3. Біліктілік талаптарына сәйкестігіне тексеруді жүзеге асыру кезінде тәуекелдерді басқару мақсаттары үшін бақылау субъектілері (объектілері) мынадай тәуекел дәрежелерінің біріне (бұдан әрі – тәуекел дәрежесі) жатқызылады:</w:t>
      </w:r>
    </w:p>
    <w:bookmarkEnd w:id="8"/>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15" w:id="9"/>
    <w:p>
      <w:pPr>
        <w:spacing w:after="0"/>
        <w:ind w:left="0"/>
        <w:jc w:val="both"/>
      </w:pPr>
      <w:r>
        <w:rPr>
          <w:rFonts w:ascii="Times New Roman"/>
          <w:b w:val="false"/>
          <w:i w:val="false"/>
          <w:color w:val="000000"/>
          <w:sz w:val="28"/>
        </w:rPr>
        <w:t>
      "10. Деректер базасын қалыптастыру және ақпарат жинау көмірсутектер саласындағы біліктілік талаптарына сәйкестігіне бақылау саласындағы субъектілерді (объектілерді) анықтау үшін қажет.";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2-абзацы мынадай редакцияда жазылсын:</w:t>
      </w:r>
    </w:p>
    <w:bookmarkStart w:name="z17" w:id="10"/>
    <w:p>
      <w:pPr>
        <w:spacing w:after="0"/>
        <w:ind w:left="0"/>
        <w:jc w:val="both"/>
      </w:pPr>
      <w:r>
        <w:rPr>
          <w:rFonts w:ascii="Times New Roman"/>
          <w:b w:val="false"/>
          <w:i w:val="false"/>
          <w:color w:val="000000"/>
          <w:sz w:val="28"/>
        </w:rPr>
        <w:t>
      "Тәуекел дәрежесін бағалау үшін көмірсутектер саласындағы біліктілік талаптарына сәйкестігіне тексерулердің нәтижелері пайдаланылады.";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жасылсын:</w:t>
      </w:r>
    </w:p>
    <w:bookmarkStart w:name="z19" w:id="11"/>
    <w:p>
      <w:pPr>
        <w:spacing w:after="0"/>
        <w:ind w:left="0"/>
        <w:jc w:val="both"/>
      </w:pPr>
      <w:r>
        <w:rPr>
          <w:rFonts w:ascii="Times New Roman"/>
          <w:b w:val="false"/>
          <w:i w:val="false"/>
          <w:color w:val="000000"/>
          <w:sz w:val="28"/>
        </w:rPr>
        <w:t>
      "11. Субъективті өлшемшарттар бойынша тәуекел дәрежесінің көрсеткішін (R) есептеу алдыңғы тексерулер нәтижелері бойынша бұзушылықтар бойынша тәуекел дәрежесінің көрсеткішін және субъективті өлшемшарттар (SC) бойынша тәуекел дәрежесінің көрсеткішін қосу жолымен, деректер мәндерін 0-ден 100 баллға дейінгі диапозонға қалыпқа келтіре отырып, автоматтандырылған режимде жүзеге асырылады.</w:t>
      </w:r>
    </w:p>
    <w:bookmarkEnd w:id="1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әрбір мемлекеттік бақылау саласының бақылау субъектілерінің (объектілерінің) біртекті тобының әрбір бақылау субъектісі (объектісі) бойынша жүргізіледі. Бұл ретте бір мемлекеттік бақылау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іріктемелі жиынтығын (іріктемені) құрайды.</w:t>
      </w:r>
    </w:p>
    <w:p>
      <w:pPr>
        <w:spacing w:after="0"/>
        <w:ind w:left="0"/>
        <w:jc w:val="both"/>
      </w:pPr>
      <w:r>
        <w:rPr>
          <w:rFonts w:ascii="Times New Roman"/>
          <w:b w:val="false"/>
          <w:i w:val="false"/>
          <w:color w:val="000000"/>
          <w:sz w:val="28"/>
        </w:rPr>
        <w:t>
      Алдыңғы тексерулер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xml:space="preserve">
      Осы өлшемшарттың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біліктілік талаптарына сәйкестігіне тексеру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бақылау субъектісін мынадай тәуекел дәрежесінің біріне жатқызу үшін негіз болып табылады:</w:t>
      </w:r>
    </w:p>
    <w:p>
      <w:pPr>
        <w:spacing w:after="0"/>
        <w:ind w:left="0"/>
        <w:jc w:val="both"/>
      </w:pPr>
      <w:r>
        <w:rPr>
          <w:rFonts w:ascii="Times New Roman"/>
          <w:b w:val="false"/>
          <w:i w:val="false"/>
          <w:color w:val="000000"/>
          <w:sz w:val="28"/>
        </w:rPr>
        <w:t>
      1) жоғары тәуекел дәрежесі – тәуекел дәрежесінің көрсеткіші 71-ден 100-ді қоса алғанға дейінгі болған кезде және оған қатысты біліктілік талаптарына сәйкестігіне тексеру жүргізіледі;</w:t>
      </w:r>
    </w:p>
    <w:p>
      <w:pPr>
        <w:spacing w:after="0"/>
        <w:ind w:left="0"/>
        <w:jc w:val="both"/>
      </w:pPr>
      <w:r>
        <w:rPr>
          <w:rFonts w:ascii="Times New Roman"/>
          <w:b w:val="false"/>
          <w:i w:val="false"/>
          <w:color w:val="000000"/>
          <w:sz w:val="28"/>
        </w:rPr>
        <w:t>
      2) орташа тәуекел дәрежесі – тәуекел дәрежесінің көрсеткіші 30-да 70-ті қоса алғанға дейін болған кезде және оған қатысты біліктілік талаптарына сәйкестігіне тексеру жүргізіледі, бірақ ең көбі екі жылда бір рет;</w:t>
      </w:r>
    </w:p>
    <w:p>
      <w:pPr>
        <w:spacing w:after="0"/>
        <w:ind w:left="0"/>
        <w:jc w:val="both"/>
      </w:pPr>
      <w:r>
        <w:rPr>
          <w:rFonts w:ascii="Times New Roman"/>
          <w:b w:val="false"/>
          <w:i w:val="false"/>
          <w:color w:val="000000"/>
          <w:sz w:val="28"/>
        </w:rPr>
        <w:t>
      3) төмен тәуекел дәрежесі – тәуекел дәрежесінің көрсеткіші 0-ден 30-ды қоса алғанға дейінгі болған кезде және оған қатысты біліктілік талаптарына сәйкестігіне тексеру жүргізілмейді.</w:t>
      </w:r>
    </w:p>
    <w:p>
      <w:pPr>
        <w:spacing w:after="0"/>
        <w:ind w:left="0"/>
        <w:jc w:val="both"/>
      </w:pPr>
      <w:r>
        <w:rPr>
          <w:rFonts w:ascii="Times New Roman"/>
          <w:b w:val="false"/>
          <w:i w:val="false"/>
          <w:color w:val="000000"/>
          <w:sz w:val="28"/>
        </w:rPr>
        <w:t>
      Қолданылатын ақпарат көздерінің басымдығын және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xi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971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xml:space="preserve">
      Көмірсутектер саласындағы жұмыстар мен көрсетілетін қызметтерге лицензия алған лицензиаттарға қатысты біліктілік талаптарына сәйкестікке қойылатын талаптардың бұзұшылық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Жүргізілген біліктілік талаптарына сәйкестігіне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графигті қалыптастыру кезінде енгізуге жол берілмейді.</w:t>
      </w:r>
    </w:p>
    <w:p>
      <w:pPr>
        <w:spacing w:after="0"/>
        <w:ind w:left="0"/>
        <w:jc w:val="both"/>
      </w:pPr>
      <w:r>
        <w:rPr>
          <w:rFonts w:ascii="Times New Roman"/>
          <w:b w:val="false"/>
          <w:i w:val="false"/>
          <w:color w:val="000000"/>
          <w:sz w:val="28"/>
        </w:rPr>
        <w:t>
      Біліктілік талаптарға сәйкестігіне тексеру жүргізудің жиілігін жоғары тәуекел дәрежесіне жатқызылған бақылау субъектісіне (объектісіне) қатысты бақылау органы, жылына бір реттен жиілітпей айқындайды.</w:t>
      </w:r>
    </w:p>
    <w:p>
      <w:pPr>
        <w:spacing w:after="0"/>
        <w:ind w:left="0"/>
        <w:jc w:val="both"/>
      </w:pPr>
      <w:r>
        <w:rPr>
          <w:rFonts w:ascii="Times New Roman"/>
          <w:b w:val="false"/>
          <w:i w:val="false"/>
          <w:color w:val="000000"/>
          <w:sz w:val="28"/>
        </w:rPr>
        <w:t>
      Алынатын мәліметтер талдауы және көрсеткіштер бойынша бағалау есепті жылғы 1 қарашадан 15 желтоқсанға дейінгі кезеңде жылына бір рет жүргізіледі.</w:t>
      </w:r>
    </w:p>
    <w:p>
      <w:pPr>
        <w:spacing w:after="0"/>
        <w:ind w:left="0"/>
        <w:jc w:val="both"/>
      </w:pPr>
      <w:r>
        <w:rPr>
          <w:rFonts w:ascii="Times New Roman"/>
          <w:b w:val="false"/>
          <w:i w:val="false"/>
          <w:color w:val="000000"/>
          <w:sz w:val="28"/>
        </w:rPr>
        <w:t>
      Егер бақылау субъектісіне (объектісіне) қатысты бұрын біліктілік талаптарына сәйкестігіне тексеру жүргізілген болса, соңғы біліктілік талаптарға сәйкестігіне тексерудің аяқталу күнінен кейінгі күннен бастап жүргізілетін талдаудың басталуына дейінгі кезең талданатын кезең болып табылады.</w:t>
      </w:r>
    </w:p>
    <w:p>
      <w:pPr>
        <w:spacing w:after="0"/>
        <w:ind w:left="0"/>
        <w:jc w:val="both"/>
      </w:pPr>
      <w:r>
        <w:rPr>
          <w:rFonts w:ascii="Times New Roman"/>
          <w:b w:val="false"/>
          <w:i w:val="false"/>
          <w:color w:val="000000"/>
          <w:sz w:val="28"/>
        </w:rPr>
        <w:t>
      Біліктілік талаптарына сәйкестігіне тексеру графиктері субъективті өлшемшарттар бойынша ең жоғары тәуекел дәрежесі көрсеткіші бар бақылау субъектілерінің басымдығын ескере отырып жасалады.</w:t>
      </w:r>
    </w:p>
    <w:p>
      <w:pPr>
        <w:spacing w:after="0"/>
        <w:ind w:left="0"/>
        <w:jc w:val="both"/>
      </w:pPr>
      <w:r>
        <w:rPr>
          <w:rFonts w:ascii="Times New Roman"/>
          <w:b w:val="false"/>
          <w:i w:val="false"/>
          <w:color w:val="000000"/>
          <w:sz w:val="28"/>
        </w:rPr>
        <w:t>
      Біліктілік талаптарына сәйкестігіне тексеру біліктілік талаптарына сәйкестігіне тексерудің жылдық графигі негізінде жүргізіледі.";</w:t>
      </w:r>
    </w:p>
    <w:bookmarkStart w:name="z20" w:id="12"/>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жаңа редакцияда жазылсын: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22" w:id="13"/>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жаңа редакцияда жазылсын: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24" w:id="14"/>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жаңа редакцияда жазылсын: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26" w:id="15"/>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4-қосымшада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29" w:id="16"/>
    <w:p>
      <w:pPr>
        <w:spacing w:after="0"/>
        <w:ind w:left="0"/>
        <w:jc w:val="both"/>
      </w:pPr>
      <w:r>
        <w:rPr>
          <w:rFonts w:ascii="Times New Roman"/>
          <w:b w:val="false"/>
          <w:i w:val="false"/>
          <w:color w:val="000000"/>
          <w:sz w:val="28"/>
        </w:rPr>
        <w:t>
      реттік нөмірі 3-жол жаңа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біреуден кем емес теңізде мұнай жинау құрылғысының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жаңа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32" w:id="18"/>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жаңа редакцияда жазылсын: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34" w:id="19"/>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 жаңа редакцияда жазылсын: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36" w:id="20"/>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 жаңа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bl>
    <w:bookmarkStart w:name="z38" w:id="21"/>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 жаңа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9-қосымша";</w:t>
            </w:r>
          </w:p>
        </w:tc>
      </w:tr>
    </w:tbl>
    <w:bookmarkStart w:name="z40" w:id="22"/>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 жаңа редакцияда жазылсын: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10-қосымша";</w:t>
            </w:r>
          </w:p>
        </w:tc>
      </w:tr>
    </w:tbl>
    <w:bookmarkStart w:name="z42" w:id="23"/>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 жаңа редакцияда жазылсын: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11-қосымша";</w:t>
            </w:r>
          </w:p>
        </w:tc>
      </w:tr>
    </w:tbl>
    <w:bookmarkStart w:name="z44" w:id="24"/>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12-қосымшаның</w:t>
      </w:r>
      <w:r>
        <w:rPr>
          <w:rFonts w:ascii="Times New Roman"/>
          <w:b w:val="false"/>
          <w:i w:val="false"/>
          <w:color w:val="000000"/>
          <w:sz w:val="28"/>
        </w:rPr>
        <w:t xml:space="preserve"> жоғарғы оң жақ бұрышы жаңа редакцияда жазылсын: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12-қосымша";</w:t>
            </w:r>
          </w:p>
        </w:tc>
      </w:tr>
    </w:tbl>
    <w:bookmarkStart w:name="z46" w:id="25"/>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13-қосымшаның</w:t>
      </w:r>
      <w:r>
        <w:rPr>
          <w:rFonts w:ascii="Times New Roman"/>
          <w:b w:val="false"/>
          <w:i w:val="false"/>
          <w:color w:val="000000"/>
          <w:sz w:val="28"/>
        </w:rPr>
        <w:t xml:space="preserve"> жоғарғы оң жақ бұрышы жаңа редакцияда жазылсын: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13-қосымша";</w:t>
            </w:r>
          </w:p>
        </w:tc>
      </w:tr>
    </w:tbl>
    <w:bookmarkStart w:name="z48" w:id="26"/>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қосымшалары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26"/>
    <w:bookmarkStart w:name="z49" w:id="27"/>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27"/>
    <w:bookmarkStart w:name="z50" w:id="28"/>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8"/>
    <w:bookmarkStart w:name="z51" w:id="29"/>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Энергетика министрлігінің интернет-ресурсында орналастыруды;</w:t>
      </w:r>
    </w:p>
    <w:bookmarkEnd w:id="29"/>
    <w:bookmarkStart w:name="z52" w:id="30"/>
    <w:p>
      <w:pPr>
        <w:spacing w:after="0"/>
        <w:ind w:left="0"/>
        <w:jc w:val="both"/>
      </w:pPr>
      <w:r>
        <w:rPr>
          <w:rFonts w:ascii="Times New Roman"/>
          <w:b w:val="false"/>
          <w:i w:val="false"/>
          <w:color w:val="000000"/>
          <w:sz w:val="28"/>
        </w:rPr>
        <w:t xml:space="preserve">
      3) осы бірлескен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30"/>
    <w:bookmarkStart w:name="z53" w:id="3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31"/>
    <w:bookmarkStart w:name="z54" w:id="3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493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2-қосымша</w:t>
            </w:r>
          </w:p>
        </w:tc>
      </w:tr>
    </w:tbl>
    <w:bookmarkStart w:name="z57" w:id="33"/>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 құрлықта, теңізде және ішкі су айдындарында ұңғымаларды бұрғылау"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33"/>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бұрғылау қондырғысының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бұрғылау сорғысының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шығарындыға қарсы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бұрғылау ерітіндісін дайындау, циркуляциялау және тазалау торабының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493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3-қосымша</w:t>
            </w:r>
          </w:p>
        </w:tc>
      </w:tr>
    </w:tbl>
    <w:bookmarkStart w:name="z60" w:id="34"/>
    <w:p>
      <w:pPr>
        <w:spacing w:after="0"/>
        <w:ind w:left="0"/>
        <w:jc w:val="left"/>
      </w:pPr>
      <w:r>
        <w:rPr>
          <w:rFonts w:ascii="Times New Roman"/>
          <w:b/>
          <w:i w:val="false"/>
          <w:color w:val="000000"/>
        </w:rPr>
        <w:t xml:space="preserve"> Көмірсутектер саласындағы "Көмірсутектер кен орындарына арналған базалық жобалау құжаттарын жасау және көмірсутектер кен орындарын игеруді талдау"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34"/>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ғимарат немесе тұрғын емес үй-жайдың (кеңсенің)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кен шоғырларының құрылымын, стратиграфиясын және қасиеттерін сипаттауды көздейтін мұнай және газ кен орындарын геологиялық модельдеу бойынша көмірсутектер саласында жобалауға арналған лицензиялық бағдарламалық қамтылымның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көмірсутектерді өндіру көлемін әзірлеу және болжау жүйесін жобалау үшін мұнай және газ қабаттарын (кен шоғырларын) гидродинамикалық модельдеу бойынша көмірсутектер саласында жобалауға арналған лицензиялық бағдарламалық қамтылымның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мамандандырылған техниканың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кәсіпшілік зерттеулерге арналған ұңғыма аспаптарының (тереңдік сынамаларды іріктеу, қабаттық қысым мен температураны өлшеу)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жобалау үшін пайдаланылатын ұңғымадағы түсіру-көтеру операцияларына арналған қондырғының (шығырдың)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493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4-қосымша</w:t>
            </w:r>
          </w:p>
        </w:tc>
      </w:tr>
    </w:tbl>
    <w:bookmarkStart w:name="z63" w:id="35"/>
    <w:p>
      <w:pPr>
        <w:spacing w:after="0"/>
        <w:ind w:left="0"/>
        <w:jc w:val="left"/>
      </w:pPr>
      <w:r>
        <w:rPr>
          <w:rFonts w:ascii="Times New Roman"/>
          <w:b/>
          <w:i w:val="false"/>
          <w:color w:val="000000"/>
        </w:rPr>
        <w:t xml:space="preserve"> Көмірсутектер саласындағы "Көмірсутектер кен орындарына арналған техникалық жобалау құжаттарын жасау"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35"/>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ғимарат немесе тұрғын емес үй-жайдың (кеңсенің)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кен ұңғымаларды бұрғылауды жобалау (ұңғымаларды өткізу, қысым градиенттерін және гидродинамикалық сипаттамаларды есептеу, бұрғылау және шегендеу бағаналарын есептеу, цементтеу процесін есептеу) бойынша көмірсутектер саласында жобалауға арналған лицензиялық бағдарламалық қамтылымның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мамандандырылған техниканың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493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5-қосымша</w:t>
            </w:r>
          </w:p>
        </w:tc>
      </w:tr>
    </w:tbl>
    <w:bookmarkStart w:name="z66" w:id="36"/>
    <w:p>
      <w:pPr>
        <w:spacing w:after="0"/>
        <w:ind w:left="0"/>
        <w:jc w:val="left"/>
      </w:pPr>
      <w:r>
        <w:rPr>
          <w:rFonts w:ascii="Times New Roman"/>
          <w:b/>
          <w:i w:val="false"/>
          <w:color w:val="000000"/>
        </w:rPr>
        <w:t xml:space="preserve"> Көмірсутектер саласындағы "Теңіздегі көмірсутектер кен орындарында төгілуді болғызбау және жою жөніндегі жұмыстар"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36"/>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теңізде мұнай жинау құрылғысының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қалқымалы резервуарлардың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бондық бөгеттердің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493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6-қосымша</w:t>
            </w:r>
          </w:p>
        </w:tc>
      </w:tr>
    </w:tbl>
    <w:bookmarkStart w:name="z69" w:id="37"/>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кезіндегі геофизикалық жұмыстар"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37"/>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тереңдік сынамаларды іріктеу үшін ұңғымалық аспаптардың және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қабаттық қысымды өлшеу үшін ұңғымалық аспаптардың және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температураны өлшеу үшін ұңғымалық аспаптардың және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акустикалық каротаж аспаптарының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электрлік каротаж аспаптарының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радиоактивті каротаж аспаптарының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арнанулы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493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7-қосымша</w:t>
            </w:r>
          </w:p>
        </w:tc>
      </w:tr>
    </w:tbl>
    <w:bookmarkStart w:name="z72" w:id="38"/>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 ұңғымаларды жер астында жөндеу, сынау, игеру, сынамалау, консервациялау, жою"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38"/>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ұңғымаларды жөндеу, сынау, игеру, сынамалау, консервациялау, жою жөніндегі көтергіш қондырғының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шығарындыға қарсы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сорғы агрегатының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ыдыстың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білімі немесе арнаулы орта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493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8-қосымша</w:t>
            </w:r>
          </w:p>
        </w:tc>
      </w:tr>
    </w:tbl>
    <w:bookmarkStart w:name="z75" w:id="39"/>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 ұңғымаларды цементтеу"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39"/>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мамандандырылған цементтеу агрегаттың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ыдыстың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493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9-қосымша</w:t>
            </w:r>
          </w:p>
        </w:tc>
      </w:tr>
    </w:tbl>
    <w:bookmarkStart w:name="z78" w:id="40"/>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кезіндегі кәсіпшілік зерттеулер"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40"/>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тереңдік сынамаларды іріктеу үшін ұңғымалық аспаптардың және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қабаттық қысымды өлшеу үшін ұңғымалық аспаптардың және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температураны өлшеу үшін ұңғымалық аспаптардың және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түсіру-көтеру операцияларына арналған қондырғының (шығырдың)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білімі немесе арнаулы орта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493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10-қосымша</w:t>
            </w:r>
          </w:p>
        </w:tc>
      </w:tr>
    </w:tbl>
    <w:bookmarkStart w:name="z81" w:id="41"/>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кезіндегі сейсмикалық барлау жұмыстары"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41"/>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сейсмикалық станцияның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сейсмикалық барлау жабдықтарының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493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11-қосымша</w:t>
            </w:r>
          </w:p>
        </w:tc>
      </w:tr>
    </w:tbl>
    <w:bookmarkStart w:name="z84" w:id="42"/>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 ұңғымалардағы атқылау-жару жұмыстары"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42"/>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 жарылғыш заттарды және олардың негізінде жасалған бұйымдарды үнемі қолдануға рұқсаты бар ұйыммен жасалған шарттың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перфорациялық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қойманың немесе жарылғыш заттарды сақтауға арналған қоймасы бар мамандандырылған ұйыммен шарттың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493 Бірлескен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12-қосымша</w:t>
            </w:r>
          </w:p>
        </w:tc>
      </w:tr>
    </w:tbl>
    <w:bookmarkStart w:name="z87" w:id="43"/>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 мұнай қабаттарының мұнай беруін арттыру және ұңғымалардың өнімділігін ұлғайту"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43"/>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сорғы агрегаттың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493 Бірлескен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13-қосымша</w:t>
            </w:r>
          </w:p>
        </w:tc>
      </w:tr>
    </w:tbl>
    <w:bookmarkStart w:name="z90" w:id="44"/>
    <w:p>
      <w:pPr>
        <w:spacing w:after="0"/>
        <w:ind w:left="0"/>
        <w:jc w:val="left"/>
      </w:pPr>
      <w:r>
        <w:rPr>
          <w:rFonts w:ascii="Times New Roman"/>
          <w:b/>
          <w:i w:val="false"/>
          <w:color w:val="000000"/>
        </w:rPr>
        <w:t xml:space="preserve"> Көмірсутектер саласындағы "Мұнай-газ-химия өндірістерін пайдалану"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44"/>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негізгі технологиялық қондырғылар мен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мұнай-химия өндірісі үшін қажетті қоймалардың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Қазақстан Республикасының заңнамасында белгіленген тәртіпте аккредиттелген зертхананың немесе өнімнің стандарттарға, нормалар мен техникалық шарттарға сәйкестігін бақылау бойынша аккредиттелген зертханамен қызмет көрсету шартының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 5) технологиялық процесті және берілген сападағы өнімдерді шығаруды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білімі немесе арнаулы орта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120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493 Бірлескен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14-қосымша</w:t>
            </w:r>
          </w:p>
        </w:tc>
      </w:tr>
    </w:tbl>
    <w:bookmarkStart w:name="z93" w:id="45"/>
    <w:p>
      <w:pPr>
        <w:spacing w:after="0"/>
        <w:ind w:left="0"/>
        <w:jc w:val="left"/>
      </w:pPr>
      <w:r>
        <w:rPr>
          <w:rFonts w:ascii="Times New Roman"/>
          <w:b/>
          <w:i w:val="false"/>
          <w:color w:val="000000"/>
        </w:rPr>
        <w:t xml:space="preserve"> Көмірсутектер саласындағы "Магистральдық құбыржолдарды пайдалану"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45"/>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магистральдық құбырдың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кіші түрінің мәлімделген жұмыстарын орындау үшін қажетті техникалық талаптарға байланысты пайдаланылатын магистральдық құбырды пайдалануды қамтамасыз ететін меншік құқығындағы немесе өзге де заңды негіздегі аспаптар мен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магистральдық құбырларды техникалық диагностикалау үшін диагностикалық аспаптардың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магистральдық құбырларға техникалық қызмет көрсету үшін бақылау-өлшеу аспаптарының, құралдар мен жабдықтардың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жабдықтар мен технологияларды пайдалана отырып, жұмыс істеп тұрған өндірістік объектілерді реконструкциялау, жаңғырту жөніндегі бекітілген бағдарламалардың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орындау жоспарларының (бағдарламаларының)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 5) магистральдық құбырларды пайдаланудың технологиялық процесін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білімі немесе арнаулы орта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