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d309" w14:textId="f88d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2024 жылғы 8 қаңтардағы № С 15-2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Ақкөл аудандық мәслихатының 2024 жылғы 16 шілдедегі № С 24-3 шешімі. Ақмола облысының Әділет департаментінде 2024 жылғы 17 шілдеде № 8792-03 болып тіркелді</w:t>
      </w:r>
    </w:p>
    <w:p>
      <w:pPr>
        <w:spacing w:after="0"/>
        <w:ind w:left="0"/>
        <w:jc w:val="both"/>
      </w:pPr>
      <w:bookmarkStart w:name="z1" w:id="0"/>
      <w:r>
        <w:rPr>
          <w:rFonts w:ascii="Times New Roman"/>
          <w:b w:val="false"/>
          <w:i w:val="false"/>
          <w:color w:val="000000"/>
          <w:sz w:val="28"/>
        </w:rPr>
        <w:t>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мәслихатының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8 қаңтардағы № С-15-2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8691-03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кірістері есепке алынбай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100 (жүз) айлық есептік көрсеткіштен аспайтын мөлшерде, бірақ ол туындаған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туберкулез,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10 (он) айлық есептік көрсеткіш мөлшерінде, бірақ алты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ауруға шалдыққан, диспансерлік есепте тұрған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пробация қызметінің есебінде тұрған адамдарға бір рет 15 (он бес)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бір рет 40 (қырық) айлық есептік көрсеткіштен аспайтын мөлшерде;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 өтеуге ай сайын 100 (жүз) пайыз мөлшерінде.".</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