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3e3f" w14:textId="4113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2023 жылғы 28 желтоқсандағы № 8С-13/4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Есіл аудандық мәслихатының 2024 жылғы 24 желтоқсандағы № 8С-30/4 шешімі. Ақмола облысының Әділет департаментінде 2024 жылғы 26 желтоқсанда № 8873-03 болып тіркелді</w:t>
      </w:r>
    </w:p>
    <w:p>
      <w:pPr>
        <w:spacing w:after="0"/>
        <w:ind w:left="0"/>
        <w:jc w:val="both"/>
      </w:pPr>
      <w:bookmarkStart w:name="z1" w:id="0"/>
      <w:r>
        <w:rPr>
          <w:rFonts w:ascii="Times New Roman"/>
          <w:b w:val="false"/>
          <w:i w:val="false"/>
          <w:color w:val="000000"/>
          <w:sz w:val="28"/>
        </w:rPr>
        <w:t>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аудандық мәслихатының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28 желтоқсандағы № 8С-13/4 (Нормативтік құқықтық актілерді мемлекеттік тіркеу тізілімінде № 8680-03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Есіл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Есіл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"Есіл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Әлеуметтік көмек көрсетуге жұмсалатын шығыстарды қаржыландыру Есіл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 – 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А.Адильбаева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