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5f77" w14:textId="6045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18 маусымдағы № 161 қаулысы. Ақтөбе облысының Әділет департаментінде 2024 жылғы 20 маусымда № 8597-04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(Нормативтік құқықтық актілерді мемлекеттік тіркеу тізілімінде № 20209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және жер қатынастары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әкімдігінің 22.11.2024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биоагенттердiң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грамм/литр + дикамба қышқылының 2 -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2,4 - Д қышқылы,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2,4 - 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флуроксипир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3 086,00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суспензионды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 2,4-Д қышқылы, 410 грамм/литр + клопиралид, 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2 - 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тұзының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 60%,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грамм/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дикамбы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 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сулы 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 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клопиралид, 267 грамм/литр + пиклорам 80 грамм/литр+ аминопиралид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сулы-диспергирленген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– этил, 90 грамм/литр + клодинафоп – пропаргил, 90 грамм/литр + мефенпир –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104 грамм/килограмм, трибенурон-метил,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 42 грамм/литр + феноксапроп-п-этил, 72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метил-натрий, 1,0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54 104,00,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грамм/литр + эпиксиконазол,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микроэмульсии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суспензионды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+бета – 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 және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 және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 және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 және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 және инсектицид және егіс алдындағы өндеуге арналған препарат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*******қос мақсаттағы мемлекеттік тіркеуі бар және тұқым дәрілеуіш және фунгицид ретінде пайдаланылатын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