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502a" w14:textId="6125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Алатау қаласының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25 қыркүйектегі № 26-135 бірлескен шешімі және Алматы облысы әкімдігінің 2024 жылғы 25 қыркүйектегі № 299 қаулысы. Алматы облысы Әділет департаментінде 2024 жылғы 26 қыркүйектегі № 6170-05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Алатау қаласы мәслихатының және Алатау қаласы әкімдігінің бірлескен ұсынысы негізінде, Алматы облыстық мәслихаты ШЕШІМ ҚАБЫЛДАДЫ және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Алматы облыстық мәслихаты шешімінің және Алматы облысының әкімдігі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Алатау қаласының шекарасы (шегі), оның шегіне жалпы ауданы 88000 гектар Қонаев қаласының, Іле және Талғар аудандарының кейбір жерлерін қоса отырып,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 облысы Алатау қаласының шекарасын (шегін) белгілеу туралы" бірлескен Алматы облыстық мәслихатының 2024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№25-123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және Алматы облысы әкімдігінің 2024 жылғы 9 тамыздағы №253 қаулысының (Нормативтік құқықтық актілерді мемлекеттік тіркеу тізілімінде №199727 тіркелген) күші жойылды деп танылсын.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Алматы облыстық мәслихаты шешімінің және Алматы облысының әкімдігі қаулысының орындалуын бақылау Алматы облысы әкімінің жетекшілік ететін орынбасарына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Алматы облыстық мәслихатының шешімі және Алматы облысы әкімдігінің қаулысы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Алматы облыстық мәслихатының 2024 жылғы 25 қыркүйектегі № 26-135 шешімі мен Алматы облысының әкімдігі 2024 жылғы 25 қыркүйектегі № 299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Алатау қаласының шекарасына енгізілетін жерлердің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 ауданы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округтердің)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шаруашы-лығы мақсатындағы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қызметінің, қорғаныстың, ұлттық қауіпсіздіктің мұқтаждары үшін және өзге де ауыл шаруашылық емес мақсаттағы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рекше қорғалатын табиғи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аумақтар, сауықтыру, рекреациялық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мақсаттағы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қоры-ның жерлері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қоры-ның жерлері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2924,2898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2990,8968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45152,9732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145,9942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56323,9122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11999,6546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8583,324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