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9d51" w14:textId="1a89d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су объектілерінің су қорғау аймақтары мен белдеулерін, оларды шаруашылықта пайдалану режимі мен ерекше жағдайларын белгілеу туралы</w:t>
      </w:r>
    </w:p>
    <w:p>
      <w:pPr>
        <w:spacing w:after="0"/>
        <w:ind w:left="0"/>
        <w:jc w:val="both"/>
      </w:pPr>
      <w:r>
        <w:rPr>
          <w:rFonts w:ascii="Times New Roman"/>
          <w:b w:val="false"/>
          <w:i w:val="false"/>
          <w:color w:val="000000"/>
          <w:sz w:val="28"/>
        </w:rPr>
        <w:t>Шымкент қаласы әкімдігінің 2024 жылғы 1 сәуірдегі № 1313 қаулысы. Шымкент қаласының Әділет департаментінде 2024 жылғы 3 сәуірде № 205-17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Су кодексінің 39-бабының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 тармақшаларына</w:t>
      </w:r>
      <w:r>
        <w:rPr>
          <w:rFonts w:ascii="Times New Roman"/>
          <w:b w:val="false"/>
          <w:i w:val="false"/>
          <w:color w:val="000000"/>
          <w:sz w:val="28"/>
        </w:rPr>
        <w:t xml:space="preserve"> және 116-бабының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27-бабы 1-тармағының </w:t>
      </w:r>
      <w:r>
        <w:rPr>
          <w:rFonts w:ascii="Times New Roman"/>
          <w:b w:val="false"/>
          <w:i w:val="false"/>
          <w:color w:val="000000"/>
          <w:sz w:val="28"/>
        </w:rPr>
        <w:t>8-1) тармақшасына</w:t>
      </w:r>
      <w:r>
        <w:rPr>
          <w:rFonts w:ascii="Times New Roman"/>
          <w:b w:val="false"/>
          <w:i w:val="false"/>
          <w:color w:val="000000"/>
          <w:sz w:val="28"/>
        </w:rPr>
        <w:t xml:space="preserve">, Қазақстан Республикасы Ауыл шаруашылығы министрінің 2015 жылғы 18 мамырдағы № 19-1/446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11838 болып тіркелген) бекітілген Су қорғау аймақтары мен белдеулерін белгілеу қағидаларының </w:t>
      </w:r>
      <w:r>
        <w:rPr>
          <w:rFonts w:ascii="Times New Roman"/>
          <w:b w:val="false"/>
          <w:i w:val="false"/>
          <w:color w:val="000000"/>
          <w:sz w:val="28"/>
        </w:rPr>
        <w:t>5-тармағына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Шымкент қаласы су объектілерінің су қорғау аймақтары мен белдеулері;</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Шымкент қаласы су объектілерінің су қорғау аймақтары мен белдеулерін шаруашылықта пайдалану режимі мен ерекше жағдайлары белгіленсін. </w:t>
      </w:r>
    </w:p>
    <w:bookmarkStart w:name="z3" w:id="2"/>
    <w:p>
      <w:pPr>
        <w:spacing w:after="0"/>
        <w:ind w:left="0"/>
        <w:jc w:val="both"/>
      </w:pPr>
      <w:r>
        <w:rPr>
          <w:rFonts w:ascii="Times New Roman"/>
          <w:b w:val="false"/>
          <w:i w:val="false"/>
          <w:color w:val="000000"/>
          <w:sz w:val="28"/>
        </w:rPr>
        <w:t>
      2. "Шымкент қаласының қалалық жайлы ортаны дамыту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оның ресми жариялаынғаннан кейін Шымкент қаласы әкімдігінің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Сыздыкбеков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әкімдігінің 2024 жылғы</w:t>
            </w:r>
            <w:r>
              <w:br/>
            </w:r>
            <w:r>
              <w:rPr>
                <w:rFonts w:ascii="Times New Roman"/>
                <w:b w:val="false"/>
                <w:i w:val="false"/>
                <w:color w:val="000000"/>
                <w:sz w:val="20"/>
              </w:rPr>
              <w:t>"1" сәуірдегі № 1313 қаулысына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Шымкент қаласы су объектілерінің су қорғау аймақтары мен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объектілерінің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 мен белдеулерінің ұзындығы, шақырым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 – ПК 5 – 100;</w:t>
            </w:r>
          </w:p>
          <w:p>
            <w:pPr>
              <w:spacing w:after="20"/>
              <w:ind w:left="20"/>
              <w:jc w:val="both"/>
            </w:pPr>
            <w:r>
              <w:rPr>
                <w:rFonts w:ascii="Times New Roman"/>
                <w:b w:val="false"/>
                <w:i w:val="false"/>
                <w:color w:val="000000"/>
                <w:sz w:val="20"/>
              </w:rPr>
              <w:t>
ПК 5 – ПК 150 – 35;</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ПК 0 – ПК 16 – 100;</w:t>
            </w:r>
          </w:p>
          <w:p>
            <w:pPr>
              <w:spacing w:after="20"/>
              <w:ind w:left="20"/>
              <w:jc w:val="both"/>
            </w:pPr>
            <w:r>
              <w:rPr>
                <w:rFonts w:ascii="Times New Roman"/>
                <w:b w:val="false"/>
                <w:i w:val="false"/>
                <w:color w:val="000000"/>
                <w:sz w:val="20"/>
              </w:rPr>
              <w:t>
ПК 16 – ПК –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 – ПК 5 – 500;</w:t>
            </w:r>
          </w:p>
          <w:p>
            <w:pPr>
              <w:spacing w:after="20"/>
              <w:ind w:left="20"/>
              <w:jc w:val="both"/>
            </w:pPr>
            <w:r>
              <w:rPr>
                <w:rFonts w:ascii="Times New Roman"/>
                <w:b w:val="false"/>
                <w:i w:val="false"/>
                <w:color w:val="000000"/>
                <w:sz w:val="20"/>
              </w:rPr>
              <w:t>
ПК 5 – ПК 95 – 70;</w:t>
            </w:r>
          </w:p>
          <w:p>
            <w:pPr>
              <w:spacing w:after="20"/>
              <w:ind w:left="20"/>
              <w:jc w:val="both"/>
            </w:pPr>
            <w:r>
              <w:rPr>
                <w:rFonts w:ascii="Times New Roman"/>
                <w:b w:val="false"/>
                <w:i w:val="false"/>
                <w:color w:val="000000"/>
                <w:sz w:val="20"/>
              </w:rPr>
              <w:t>
ПК 95 – ПК 110+00 – теміржол желісінің бойында</w:t>
            </w:r>
          </w:p>
          <w:p>
            <w:pPr>
              <w:spacing w:after="20"/>
              <w:ind w:left="20"/>
              <w:jc w:val="both"/>
            </w:pPr>
            <w:r>
              <w:rPr>
                <w:rFonts w:ascii="Times New Roman"/>
                <w:b w:val="false"/>
                <w:i w:val="false"/>
                <w:color w:val="000000"/>
                <w:sz w:val="20"/>
              </w:rPr>
              <w:t>
ПК 93 + 76 – 183;</w:t>
            </w:r>
          </w:p>
          <w:p>
            <w:pPr>
              <w:spacing w:after="20"/>
              <w:ind w:left="20"/>
              <w:jc w:val="both"/>
            </w:pPr>
            <w:r>
              <w:rPr>
                <w:rFonts w:ascii="Times New Roman"/>
                <w:b w:val="false"/>
                <w:i w:val="false"/>
                <w:color w:val="000000"/>
                <w:sz w:val="20"/>
              </w:rPr>
              <w:t>
ПК 195 + 84 – 167;</w:t>
            </w:r>
          </w:p>
          <w:p>
            <w:pPr>
              <w:spacing w:after="20"/>
              <w:ind w:left="20"/>
              <w:jc w:val="both"/>
            </w:pPr>
            <w:r>
              <w:rPr>
                <w:rFonts w:ascii="Times New Roman"/>
                <w:b w:val="false"/>
                <w:i w:val="false"/>
                <w:color w:val="000000"/>
                <w:sz w:val="20"/>
              </w:rPr>
              <w:t>
ПК 100+00 – 250;</w:t>
            </w:r>
          </w:p>
          <w:p>
            <w:pPr>
              <w:spacing w:after="20"/>
              <w:ind w:left="20"/>
              <w:jc w:val="both"/>
            </w:pPr>
            <w:r>
              <w:rPr>
                <w:rFonts w:ascii="Times New Roman"/>
                <w:b w:val="false"/>
                <w:i w:val="false"/>
                <w:color w:val="000000"/>
                <w:sz w:val="20"/>
              </w:rPr>
              <w:t>
ПК 107 + 00 – 392;</w:t>
            </w:r>
          </w:p>
          <w:p>
            <w:pPr>
              <w:spacing w:after="20"/>
              <w:ind w:left="20"/>
              <w:jc w:val="both"/>
            </w:pPr>
            <w:r>
              <w:rPr>
                <w:rFonts w:ascii="Times New Roman"/>
                <w:b w:val="false"/>
                <w:i w:val="false"/>
                <w:color w:val="000000"/>
                <w:sz w:val="20"/>
              </w:rPr>
              <w:t>
ПК 110 + 00 – 500;</w:t>
            </w:r>
          </w:p>
          <w:p>
            <w:pPr>
              <w:spacing w:after="20"/>
              <w:ind w:left="20"/>
              <w:jc w:val="both"/>
            </w:pPr>
            <w:r>
              <w:rPr>
                <w:rFonts w:ascii="Times New Roman"/>
                <w:b w:val="false"/>
                <w:i w:val="false"/>
                <w:color w:val="000000"/>
                <w:sz w:val="20"/>
              </w:rPr>
              <w:t>
ПК 110+00 – ПК 122+89 – 500 м;</w:t>
            </w:r>
          </w:p>
          <w:p>
            <w:pPr>
              <w:spacing w:after="20"/>
              <w:ind w:left="20"/>
              <w:jc w:val="both"/>
            </w:pPr>
            <w:r>
              <w:rPr>
                <w:rFonts w:ascii="Times New Roman"/>
                <w:b w:val="false"/>
                <w:i w:val="false"/>
                <w:color w:val="000000"/>
                <w:sz w:val="20"/>
              </w:rPr>
              <w:t>
ПК 122+89 – 127+13 – темір жол желісінің бойында;</w:t>
            </w:r>
          </w:p>
          <w:p>
            <w:pPr>
              <w:spacing w:after="20"/>
              <w:ind w:left="20"/>
              <w:jc w:val="both"/>
            </w:pPr>
            <w:r>
              <w:rPr>
                <w:rFonts w:ascii="Times New Roman"/>
                <w:b w:val="false"/>
                <w:i w:val="false"/>
                <w:color w:val="000000"/>
                <w:sz w:val="20"/>
              </w:rPr>
              <w:t>
ПК 122+89 – 500;</w:t>
            </w:r>
          </w:p>
          <w:p>
            <w:pPr>
              <w:spacing w:after="20"/>
              <w:ind w:left="20"/>
              <w:jc w:val="both"/>
            </w:pPr>
            <w:r>
              <w:rPr>
                <w:rFonts w:ascii="Times New Roman"/>
                <w:b w:val="false"/>
                <w:i w:val="false"/>
                <w:color w:val="000000"/>
                <w:sz w:val="20"/>
              </w:rPr>
              <w:t>
ПК 127+13 – 378;</w:t>
            </w:r>
          </w:p>
          <w:p>
            <w:pPr>
              <w:spacing w:after="20"/>
              <w:ind w:left="20"/>
              <w:jc w:val="both"/>
            </w:pPr>
            <w:r>
              <w:rPr>
                <w:rFonts w:ascii="Times New Roman"/>
                <w:b w:val="false"/>
                <w:i w:val="false"/>
                <w:color w:val="000000"/>
                <w:sz w:val="20"/>
              </w:rPr>
              <w:t>
ПК127+13 – ПК 139+00 – 70.</w:t>
            </w:r>
          </w:p>
          <w:p>
            <w:pPr>
              <w:spacing w:after="20"/>
              <w:ind w:left="20"/>
              <w:jc w:val="both"/>
            </w:pPr>
            <w:r>
              <w:rPr>
                <w:rFonts w:ascii="Times New Roman"/>
                <w:b w:val="false"/>
                <w:i w:val="false"/>
                <w:color w:val="000000"/>
                <w:sz w:val="20"/>
              </w:rPr>
              <w:t>
ПК 139+00 – ПК 144+00 – канал бойында</w:t>
            </w:r>
          </w:p>
          <w:p>
            <w:pPr>
              <w:spacing w:after="20"/>
              <w:ind w:left="20"/>
              <w:jc w:val="both"/>
            </w:pPr>
            <w:r>
              <w:rPr>
                <w:rFonts w:ascii="Times New Roman"/>
                <w:b w:val="false"/>
                <w:i w:val="false"/>
                <w:color w:val="000000"/>
                <w:sz w:val="20"/>
              </w:rPr>
              <w:t>
ПК 139 – 70;</w:t>
            </w:r>
          </w:p>
          <w:p>
            <w:pPr>
              <w:spacing w:after="20"/>
              <w:ind w:left="20"/>
              <w:jc w:val="both"/>
            </w:pPr>
            <w:r>
              <w:rPr>
                <w:rFonts w:ascii="Times New Roman"/>
                <w:b w:val="false"/>
                <w:i w:val="false"/>
                <w:color w:val="000000"/>
                <w:sz w:val="20"/>
              </w:rPr>
              <w:t>
ПК 142 – 261;</w:t>
            </w:r>
          </w:p>
          <w:p>
            <w:pPr>
              <w:spacing w:after="20"/>
              <w:ind w:left="20"/>
              <w:jc w:val="both"/>
            </w:pPr>
            <w:r>
              <w:rPr>
                <w:rFonts w:ascii="Times New Roman"/>
                <w:b w:val="false"/>
                <w:i w:val="false"/>
                <w:color w:val="000000"/>
                <w:sz w:val="20"/>
              </w:rPr>
              <w:t>
ПК 144 – 389;</w:t>
            </w:r>
          </w:p>
          <w:p>
            <w:pPr>
              <w:spacing w:after="20"/>
              <w:ind w:left="20"/>
              <w:jc w:val="both"/>
            </w:pPr>
            <w:r>
              <w:rPr>
                <w:rFonts w:ascii="Times New Roman"/>
                <w:b w:val="false"/>
                <w:i w:val="false"/>
                <w:color w:val="000000"/>
                <w:sz w:val="20"/>
              </w:rPr>
              <w:t>
ПК 144+00 –ПК 150+00 – темір жол желісінің бойында;</w:t>
            </w:r>
          </w:p>
          <w:p>
            <w:pPr>
              <w:spacing w:after="20"/>
              <w:ind w:left="20"/>
              <w:jc w:val="both"/>
            </w:pPr>
            <w:r>
              <w:rPr>
                <w:rFonts w:ascii="Times New Roman"/>
                <w:b w:val="false"/>
                <w:i w:val="false"/>
                <w:color w:val="000000"/>
                <w:sz w:val="20"/>
              </w:rPr>
              <w:t>
ПК 147 – 345;</w:t>
            </w:r>
          </w:p>
          <w:p>
            <w:pPr>
              <w:spacing w:after="20"/>
              <w:ind w:left="20"/>
              <w:jc w:val="both"/>
            </w:pPr>
            <w:r>
              <w:rPr>
                <w:rFonts w:ascii="Times New Roman"/>
                <w:b w:val="false"/>
                <w:i w:val="false"/>
                <w:color w:val="000000"/>
                <w:sz w:val="20"/>
              </w:rPr>
              <w:t>
ПК 150 – 305;</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ПК 0 – ПК 5 – 500;</w:t>
            </w:r>
          </w:p>
          <w:p>
            <w:pPr>
              <w:spacing w:after="20"/>
              <w:ind w:left="20"/>
              <w:jc w:val="both"/>
            </w:pPr>
            <w:r>
              <w:rPr>
                <w:rFonts w:ascii="Times New Roman"/>
                <w:b w:val="false"/>
                <w:i w:val="false"/>
                <w:color w:val="000000"/>
                <w:sz w:val="20"/>
              </w:rPr>
              <w:t>
ПК 5 – ПК 95 – 70 м;</w:t>
            </w:r>
          </w:p>
          <w:p>
            <w:pPr>
              <w:spacing w:after="20"/>
              <w:ind w:left="20"/>
              <w:jc w:val="both"/>
            </w:pPr>
            <w:r>
              <w:rPr>
                <w:rFonts w:ascii="Times New Roman"/>
                <w:b w:val="false"/>
                <w:i w:val="false"/>
                <w:color w:val="000000"/>
                <w:sz w:val="20"/>
              </w:rPr>
              <w:t>
ПК 95+00 ПК 127+13 – 500;</w:t>
            </w:r>
          </w:p>
          <w:p>
            <w:pPr>
              <w:spacing w:after="20"/>
              <w:ind w:left="20"/>
              <w:jc w:val="both"/>
            </w:pPr>
            <w:r>
              <w:rPr>
                <w:rFonts w:ascii="Times New Roman"/>
                <w:b w:val="false"/>
                <w:i w:val="false"/>
                <w:color w:val="000000"/>
                <w:sz w:val="20"/>
              </w:rPr>
              <w:t>
ПК 127+13 – ПК 145+00 – 70;</w:t>
            </w:r>
          </w:p>
          <w:p>
            <w:pPr>
              <w:spacing w:after="20"/>
              <w:ind w:left="20"/>
              <w:jc w:val="both"/>
            </w:pPr>
            <w:r>
              <w:rPr>
                <w:rFonts w:ascii="Times New Roman"/>
                <w:b w:val="false"/>
                <w:i w:val="false"/>
                <w:color w:val="000000"/>
                <w:sz w:val="20"/>
              </w:rPr>
              <w:t>
ПК 145+00 ПК 150+00 – канал бойында;</w:t>
            </w:r>
          </w:p>
          <w:p>
            <w:pPr>
              <w:spacing w:after="20"/>
              <w:ind w:left="20"/>
              <w:jc w:val="both"/>
            </w:pPr>
            <w:r>
              <w:rPr>
                <w:rFonts w:ascii="Times New Roman"/>
                <w:b w:val="false"/>
                <w:i w:val="false"/>
                <w:color w:val="000000"/>
                <w:sz w:val="20"/>
              </w:rPr>
              <w:t>
ПК 147 – 116;</w:t>
            </w:r>
          </w:p>
          <w:p>
            <w:pPr>
              <w:spacing w:after="20"/>
              <w:ind w:left="20"/>
              <w:jc w:val="both"/>
            </w:pPr>
            <w:r>
              <w:rPr>
                <w:rFonts w:ascii="Times New Roman"/>
                <w:b w:val="false"/>
                <w:i w:val="false"/>
                <w:color w:val="000000"/>
                <w:sz w:val="20"/>
              </w:rPr>
              <w:t>
ПК 150 -96.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 – ПК 150+00 – 35;</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ПК 0 – ПК 95+00 – 35;</w:t>
            </w:r>
          </w:p>
          <w:p>
            <w:pPr>
              <w:spacing w:after="20"/>
              <w:ind w:left="20"/>
              <w:jc w:val="both"/>
            </w:pPr>
            <w:r>
              <w:rPr>
                <w:rFonts w:ascii="Times New Roman"/>
                <w:b w:val="false"/>
                <w:i w:val="false"/>
                <w:color w:val="000000"/>
                <w:sz w:val="20"/>
              </w:rPr>
              <w:t>
ПК 95+00 – ПК 127+13 – 100;</w:t>
            </w:r>
          </w:p>
          <w:p>
            <w:pPr>
              <w:spacing w:after="20"/>
              <w:ind w:left="20"/>
              <w:jc w:val="both"/>
            </w:pPr>
            <w:r>
              <w:rPr>
                <w:rFonts w:ascii="Times New Roman"/>
                <w:b w:val="false"/>
                <w:i w:val="false"/>
                <w:color w:val="000000"/>
                <w:sz w:val="20"/>
              </w:rPr>
              <w:t>
ПК 127+13 – ПК 150+00 –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әкімдігінің 2024 жылғы</w:t>
            </w:r>
            <w:r>
              <w:br/>
            </w:r>
            <w:r>
              <w:rPr>
                <w:rFonts w:ascii="Times New Roman"/>
                <w:b w:val="false"/>
                <w:i w:val="false"/>
                <w:color w:val="000000"/>
                <w:sz w:val="20"/>
              </w:rPr>
              <w:t>"1" сәуірдегі № 1313 қаулысына</w:t>
            </w:r>
            <w:r>
              <w:br/>
            </w:r>
            <w:r>
              <w:rPr>
                <w:rFonts w:ascii="Times New Roman"/>
                <w:b w:val="false"/>
                <w:i w:val="false"/>
                <w:color w:val="000000"/>
                <w:sz w:val="20"/>
              </w:rPr>
              <w:t>2 қосымша</w:t>
            </w:r>
          </w:p>
        </w:tc>
      </w:tr>
    </w:tbl>
    <w:bookmarkStart w:name="z8" w:id="5"/>
    <w:p>
      <w:pPr>
        <w:spacing w:after="0"/>
        <w:ind w:left="0"/>
        <w:jc w:val="left"/>
      </w:pPr>
      <w:r>
        <w:rPr>
          <w:rFonts w:ascii="Times New Roman"/>
          <w:b/>
          <w:i w:val="false"/>
          <w:color w:val="000000"/>
        </w:rPr>
        <w:t xml:space="preserve"> Шымкент қаласының су объектілерінің су қорғау аймақтары мен белдеулерін шаруашылықта пайдалану режимі мен ерекше жағдайлары</w:t>
      </w:r>
    </w:p>
    <w:bookmarkEnd w:id="5"/>
    <w:p>
      <w:pPr>
        <w:spacing w:after="0"/>
        <w:ind w:left="0"/>
        <w:jc w:val="both"/>
      </w:pPr>
      <w:r>
        <w:rPr>
          <w:rFonts w:ascii="Times New Roman"/>
          <w:b w:val="false"/>
          <w:i w:val="false"/>
          <w:color w:val="000000"/>
          <w:sz w:val="28"/>
        </w:rPr>
        <w:t xml:space="preserve">
      Су қорғау аймағы – cудың ластануын, қоқысталуы мен сарқылуын болдырмау үшін арнайы шаруашылық қызмет режимі белгіленетін су объектiлерiне іргелес аумақ. </w:t>
      </w:r>
    </w:p>
    <w:p>
      <w:pPr>
        <w:spacing w:after="0"/>
        <w:ind w:left="0"/>
        <w:jc w:val="both"/>
      </w:pPr>
      <w:r>
        <w:rPr>
          <w:rFonts w:ascii="Times New Roman"/>
          <w:b w:val="false"/>
          <w:i w:val="false"/>
          <w:color w:val="000000"/>
          <w:sz w:val="28"/>
        </w:rPr>
        <w:t>
      Су қорғау белдеуі - шектеулі шаруашылық қызмет режимі белгіленген, су қорғау аймағы шегінде су объектiлерiне іргелес, ені отыз бес метрден кем емес аумақ.</w:t>
      </w:r>
    </w:p>
    <w:bookmarkStart w:name="z9" w:id="6"/>
    <w:p>
      <w:pPr>
        <w:spacing w:after="0"/>
        <w:ind w:left="0"/>
        <w:jc w:val="both"/>
      </w:pPr>
      <w:r>
        <w:rPr>
          <w:rFonts w:ascii="Times New Roman"/>
          <w:b w:val="false"/>
          <w:i w:val="false"/>
          <w:color w:val="000000"/>
          <w:sz w:val="28"/>
        </w:rPr>
        <w:t>
      1. Су қорғау белдеулерінің шегінде:</w:t>
      </w:r>
    </w:p>
    <w:bookmarkEnd w:id="6"/>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пен өзге де қызметке;</w:t>
      </w:r>
    </w:p>
    <w:p>
      <w:pPr>
        <w:spacing w:after="0"/>
        <w:ind w:left="0"/>
        <w:jc w:val="both"/>
      </w:pPr>
      <w:r>
        <w:rPr>
          <w:rFonts w:ascii="Times New Roman"/>
          <w:b w:val="false"/>
          <w:i w:val="false"/>
          <w:color w:val="000000"/>
          <w:sz w:val="28"/>
        </w:rPr>
        <w:t>
      2) су шаруашылығы және су жинайтын құрылыс жайлар мен олардың коммуникацияларын, көпірлерді, көпір құрылыс 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 жайларды салмай, ғимараттар мен құрылыс жайларды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Start w:name="z10" w:id="7"/>
    <w:p>
      <w:pPr>
        <w:spacing w:after="0"/>
        <w:ind w:left="0"/>
        <w:jc w:val="both"/>
      </w:pPr>
      <w:r>
        <w:rPr>
          <w:rFonts w:ascii="Times New Roman"/>
          <w:b w:val="false"/>
          <w:i w:val="false"/>
          <w:color w:val="000000"/>
          <w:sz w:val="28"/>
        </w:rPr>
        <w:t>
      2. Су қорғау аймақтарының шегінде:</w:t>
      </w:r>
    </w:p>
    <w:bookmarkEnd w:id="7"/>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тиым салынады.</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