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56e3" w14:textId="eb15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2021 жылғы 27 қазандағы № 10/6-VІI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19 наурыздағы № 14/4-VIII шешімі. Абай облысының Әділет департаментінде 2024 жылғы 29 наурызда № 243-18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27 қазандағы № 10/6-VІI (Нормативтік құқықтық актілерді мемлекеттік тіркеу тізілімінде № 25078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14/4-VIII шешімге</w:t>
            </w:r>
            <w:r>
              <w:br/>
            </w:r>
            <w:r>
              <w:rPr>
                <w:rFonts w:ascii="Times New Roman"/>
                <w:b w:val="false"/>
                <w:i w:val="false"/>
                <w:color w:val="000000"/>
                <w:sz w:val="20"/>
              </w:rPr>
              <w:t>қосымша</w:t>
            </w:r>
            <w:r>
              <w:br/>
            </w:r>
            <w:r>
              <w:rPr>
                <w:rFonts w:ascii="Times New Roman"/>
                <w:b w:val="false"/>
                <w:i w:val="false"/>
                <w:color w:val="000000"/>
                <w:sz w:val="20"/>
              </w:rPr>
              <w:t>2021 жылғы 27 қазандағы</w:t>
            </w:r>
            <w:r>
              <w:br/>
            </w:r>
            <w:r>
              <w:rPr>
                <w:rFonts w:ascii="Times New Roman"/>
                <w:b w:val="false"/>
                <w:i w:val="false"/>
                <w:color w:val="000000"/>
                <w:sz w:val="20"/>
              </w:rPr>
              <w:t>№ 10/6-VІI шешіммен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3" w:id="5"/>
    <w:p>
      <w:pPr>
        <w:spacing w:after="0"/>
        <w:ind w:left="0"/>
        <w:jc w:val="both"/>
      </w:pPr>
      <w:r>
        <w:rPr>
          <w:rFonts w:ascii="Times New Roman"/>
          <w:b w:val="false"/>
          <w:i w:val="false"/>
          <w:color w:val="000000"/>
          <w:sz w:val="28"/>
        </w:rPr>
        <w:t xml:space="preserve">
      1. Осы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5"/>
    <w:bookmarkStart w:name="z14"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әрі-оқытуға жұмсаған шығындарынды өтеу) "Абай облысы Бесқарағай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6"/>
    <w:bookmarkStart w:name="z15" w:id="7"/>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7"/>
    <w:bookmarkStart w:name="z16"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7"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8" w:id="10"/>
    <w:p>
      <w:pPr>
        <w:spacing w:after="0"/>
        <w:ind w:left="0"/>
        <w:jc w:val="both"/>
      </w:pPr>
      <w:r>
        <w:rPr>
          <w:rFonts w:ascii="Times New Roman"/>
          <w:b w:val="false"/>
          <w:i w:val="false"/>
          <w:color w:val="000000"/>
          <w:sz w:val="28"/>
        </w:rPr>
        <w:t>
      6. Оқытуға жұмсаған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bookmarkStart w:name="z19"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қосымшасына</w:t>
      </w:r>
      <w:r>
        <w:rPr>
          <w:rFonts w:ascii="Times New Roman"/>
          <w:b w:val="false"/>
          <w:i w:val="false"/>
          <w:color w:val="000000"/>
          <w:sz w:val="28"/>
        </w:rPr>
        <w:t> сәйкес өтініш нысанында көзделген кажетті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0"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өтеу мөлшері әр мүгедектігі бар балаға ай сайын төрт айлық есептік көрсеткішке тең.</w:t>
      </w:r>
    </w:p>
    <w:bookmarkEnd w:id="12"/>
    <w:bookmarkStart w:name="z21" w:id="13"/>
    <w:p>
      <w:pPr>
        <w:spacing w:after="0"/>
        <w:ind w:left="0"/>
        <w:jc w:val="both"/>
      </w:pPr>
      <w:r>
        <w:rPr>
          <w:rFonts w:ascii="Times New Roman"/>
          <w:b w:val="false"/>
          <w:i w:val="false"/>
          <w:color w:val="000000"/>
          <w:sz w:val="28"/>
        </w:rPr>
        <w:t xml:space="preserve">
      8. Үйде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