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cffb" w14:textId="68ac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 күтіп ұстау, ағымдағы, орташа және күрделі жөндеу кезінде орындалатын жұмыстар түрлерінің сыныптамасын бекіту туралы" Қызылорда облысы әкімдігінің 2016 жылғы 20 қаңтардағы № 307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2024 жылғы 25 қаңтардағы № 18 қаулысы. Қызылорда облысының Әділет департаментінде 2024 жылғы 29 қаңтарда № 8489-11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"Елді мекендердің көшелерін күтіп ұстау, ағымдағы, орташа және күрделі жөндеу кезінде орындалатын жұмыстар түрлерінің сыныптамасын бекіту туралы" Қызылорда облысы әкімдігінің 2016 жылғы 20 қаңтардағы </w:t>
      </w:r>
      <w:r>
        <w:rPr>
          <w:rFonts w:ascii="Times New Roman"/>
          <w:b w:val="false"/>
          <w:i w:val="false"/>
          <w:color w:val="000000"/>
          <w:sz w:val="28"/>
        </w:rPr>
        <w:t>№ 307</w:t>
      </w:r>
      <w:r>
        <w:rPr>
          <w:rFonts w:ascii="Times New Roman"/>
          <w:b w:val="false"/>
          <w:i w:val="false"/>
          <w:color w:val="000000"/>
          <w:sz w:val="28"/>
        </w:rPr>
        <w:t xml:space="preserve"> қаулысына (Нормативтік құқықтық актілерді мемлекеттік тіркеу тізілімінде № 5368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Елді мекендердің көшелерін күтіп ұстау, ағымдағы, орташа және күрделі жөндеу кезінде орындалатын жұмыстар түрлерінің сыныптамасының 31-тармағының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"2) жол жамылғылары бойынша, соның ішінде:</w:t>
      </w:r>
    </w:p>
    <w:bookmarkEnd w:id="3"/>
    <w:bookmarkStart w:name="z8" w:id="4"/>
    <w:p>
      <w:pPr>
        <w:spacing w:after="0"/>
        <w:ind w:left="0"/>
        <w:jc w:val="both"/>
      </w:pPr>
      <w:r>
        <w:rPr>
          <w:rFonts w:ascii="Times New Roman"/>
          <w:b w:val="false"/>
          <w:i w:val="false"/>
          <w:color w:val="000000"/>
          <w:sz w:val="28"/>
        </w:rPr>
        <w:t>
      цемент-бетонды жабындысы бар жабынды автожолдар бойынша:</w:t>
      </w:r>
    </w:p>
    <w:bookmarkEnd w:id="4"/>
    <w:bookmarkStart w:name="z9" w:id="5"/>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bookmarkEnd w:id="5"/>
    <w:bookmarkStart w:name="z10" w:id="6"/>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bookmarkEnd w:id="6"/>
    <w:bookmarkStart w:name="z11" w:id="7"/>
    <w:p>
      <w:pPr>
        <w:spacing w:after="0"/>
        <w:ind w:left="0"/>
        <w:jc w:val="both"/>
      </w:pPr>
      <w:r>
        <w:rPr>
          <w:rFonts w:ascii="Times New Roman"/>
          <w:b w:val="false"/>
          <w:i w:val="false"/>
          <w:color w:val="000000"/>
          <w:sz w:val="28"/>
        </w:rPr>
        <w:t>
      асфальт-бетонды және өтпелі жабынды автожолдар бойынша:</w:t>
      </w:r>
    </w:p>
    <w:bookmarkEnd w:id="7"/>
    <w:bookmarkStart w:name="z12" w:id="8"/>
    <w:p>
      <w:pPr>
        <w:spacing w:after="0"/>
        <w:ind w:left="0"/>
        <w:jc w:val="both"/>
      </w:pPr>
      <w:r>
        <w:rPr>
          <w:rFonts w:ascii="Times New Roman"/>
          <w:b w:val="false"/>
          <w:i w:val="false"/>
          <w:color w:val="000000"/>
          <w:sz w:val="28"/>
        </w:rPr>
        <w:t>
      жетілдірілген қоспаларды қолданумен үстіңгі қабатты өндеу;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bookmarkEnd w:id="8"/>
    <w:bookmarkStart w:name="z13" w:id="9"/>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9"/>
    <w:bookmarkStart w:name="z14" w:id="10"/>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10"/>
    <w:bookmarkStart w:name="z15" w:id="11"/>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 шағылтасты және қиыршықтасты төсемдердің қапталдарын, сондай-ақ материалдар қолдану арқылы топырақты жолдарды қалпына келтіру;</w:t>
      </w:r>
    </w:p>
    <w:bookmarkEnd w:id="11"/>
    <w:bookmarkStart w:name="z16" w:id="12"/>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bookmarkEnd w:id="12"/>
    <w:bookmarkStart w:name="z17" w:id="13"/>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bookmarkEnd w:id="13"/>
    <w:bookmarkStart w:name="z18" w:id="14"/>
    <w:p>
      <w:pPr>
        <w:spacing w:after="0"/>
        <w:ind w:left="0"/>
        <w:jc w:val="both"/>
      </w:pPr>
      <w:r>
        <w:rPr>
          <w:rFonts w:ascii="Times New Roman"/>
          <w:b w:val="false"/>
          <w:i w:val="false"/>
          <w:color w:val="000000"/>
          <w:sz w:val="28"/>
        </w:rPr>
        <w:t>
      жөнделетін учаскелердің жүру бөлігін белгілеу;</w:t>
      </w:r>
    </w:p>
    <w:bookmarkEnd w:id="14"/>
    <w:bookmarkStart w:name="z19" w:id="15"/>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bookmarkEnd w:id="15"/>
    <w:bookmarkStart w:name="z20" w:id="16"/>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16"/>
    <w:bookmarkStart w:name="z21" w:id="1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