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2bb6" w14:textId="08a2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қаласында тұрғын үй көмегін көрсетудің мөлшері мен тәртібін айқындау туралы" мәслихаттың 2024 жылғы 9 ақпандағы № 80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2024 жылғы 27 желтоқсандағы № 141 шешімі. Қостанай облысының Әділет департаментінде 2024 жылғы 31 желтоқсанда № 10347-10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қаласында тұрғын үй көмегін көрсетудің мөлшері мен тәртібін айқындау туралы" мәслихаттың 2024 жылғы 9 ақпандағы № 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құқытық актілерді мемлекеттік тіркеу тізілімінде № 10142-10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қызметті алушы (немесе оның сенiмхатқа, заңдарға, сот шешiмiне не әкiмшiлiк құжатқа негiзделген өкiлi) тұрғын үй көмегін тағайындау үшін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"Азаматтарға арналған үкімет" мемлекеттік корпорациясы" коммерциялық емес акционерлік қоғамына (бұдан әрі – Мемлекеттік корпорация) немесе "электрондық үкімет" веб-порталына тоқсанына бір рет жүгінеді.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"Тұрғый үй көмегін тағайындау" мемлекеттік қызметті көрсетуге қойылатын негізі талаптардың тізбесі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 төрағасының өкілеттіктерін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