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27bb" w14:textId="0172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2023 жылғы 21 желтоқсандағы № 70/12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2024 жылғы 13 қыркүйектегі № 115/22 шешімі. Павлодар облысының Әділет департаментінде 2024 жылғы 24 қыркүйекте № 7598-14 болып тіркелді</w:t>
      </w:r>
    </w:p>
    <w:p>
      <w:pPr>
        <w:spacing w:after="0"/>
        <w:ind w:left="0"/>
        <w:jc w:val="both"/>
      </w:pPr>
      <w:bookmarkStart w:name="z1" w:id="0"/>
      <w:r>
        <w:rPr>
          <w:rFonts w:ascii="Times New Roman"/>
          <w:b w:val="false"/>
          <w:i w:val="false"/>
          <w:color w:val="000000"/>
          <w:sz w:val="28"/>
        </w:rPr>
        <w:t xml:space="preserve">
      Успен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2023 жылғы 21 желтоқсандағы № 70/12 (Нормативтік құқықтық актілерді мемлекеттік тіркеу тізілімінде № 7455-14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шешімнің орындалуын бақылау Успен аудандық мәслихатының тұрақты комиссияларына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13 қыркүйектегі № 115/22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70/12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Успен ауданының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Успен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"Успен ауданының жұмыспен қамту және әлеуметтік бағдарламалар бөлімі" мемлекеттік мекемесі (бұдан әрі – Бөлім);</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біржолғы және (немесе) мерзімді түрде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авариялар мен апаттардың салдарларын жоюға қатысушылар және осы авариялар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bookmarkEnd w:id="13"/>
    <w:p>
      <w:pPr>
        <w:spacing w:after="0"/>
        <w:ind w:left="0"/>
        <w:jc w:val="both"/>
      </w:pPr>
      <w:r>
        <w:rPr>
          <w:rFonts w:ascii="Times New Roman"/>
          <w:b w:val="false"/>
          <w:i w:val="false"/>
          <w:color w:val="000000"/>
          <w:sz w:val="28"/>
        </w:rPr>
        <w:t>
      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міндеттілерге; </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6)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басқа тәртіпте саяси қуғын-сүргіндердің құрбандары немесе саяси қуғын-сүргіндерден зардап шеккендер деп танылған азаматтарға;</w:t>
      </w:r>
    </w:p>
    <w:p>
      <w:pPr>
        <w:spacing w:after="0"/>
        <w:ind w:left="0"/>
        <w:jc w:val="both"/>
      </w:pPr>
      <w:r>
        <w:rPr>
          <w:rFonts w:ascii="Times New Roman"/>
          <w:b w:val="false"/>
          <w:i w:val="false"/>
          <w:color w:val="000000"/>
          <w:sz w:val="28"/>
        </w:rPr>
        <w:t>
      7)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гемодиализге мұқтаж бірінші топтағы мүгедектігі бар адамдарға;</w:t>
      </w:r>
    </w:p>
    <w:p>
      <w:pPr>
        <w:spacing w:after="0"/>
        <w:ind w:left="0"/>
        <w:jc w:val="both"/>
      </w:pPr>
      <w:r>
        <w:rPr>
          <w:rFonts w:ascii="Times New Roman"/>
          <w:b w:val="false"/>
          <w:i w:val="false"/>
          <w:color w:val="000000"/>
          <w:sz w:val="28"/>
        </w:rPr>
        <w:t>
      8) отбасының бір мүшесіне шаққандағы кірісі облыс бойынша белгіленген ең төмен күнкөріс деңгейінің мөлшерінен аспайтын, жоғары оқу орындарында оқитын аз қамтамасыз етілген отбасылардың студенттеріне, жетім балаларға және ата-аналарының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азаматтарға:</w:t>
      </w:r>
    </w:p>
    <w:p>
      <w:pPr>
        <w:spacing w:after="0"/>
        <w:ind w:left="0"/>
        <w:jc w:val="both"/>
      </w:pPr>
      <w:r>
        <w:rPr>
          <w:rFonts w:ascii="Times New Roman"/>
          <w:b w:val="false"/>
          <w:i w:val="false"/>
          <w:color w:val="000000"/>
          <w:sz w:val="28"/>
        </w:rPr>
        <w:t xml:space="preserve">
      жан басына шаққандағы орташа кірісі облыс бойынша белгіленген ең төмен күнкөріс деңгейінің мөлшерінен аспайтын бір айдан астам ұзақ мерзімді ауруы бар азаматтарға; </w:t>
      </w:r>
    </w:p>
    <w:p>
      <w:pPr>
        <w:spacing w:after="0"/>
        <w:ind w:left="0"/>
        <w:jc w:val="both"/>
      </w:pPr>
      <w:r>
        <w:rPr>
          <w:rFonts w:ascii="Times New Roman"/>
          <w:b w:val="false"/>
          <w:i w:val="false"/>
          <w:color w:val="000000"/>
          <w:sz w:val="28"/>
        </w:rPr>
        <w:t>
      кірісі облыс бойынша белгіленген ең төмен күнкөріс деңгейінің жетпіс пайызынан төмен аз қамтамасыз етілген отбасыларға;</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шамасынан аспайтын, жасанды тамақтанатын бір жасқа дейінгі балалары бар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он екі аптаға дейінгі жүктілік мерзімі бар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әлеуметтік мәні бар аурулары бар азаматтарға:</w:t>
      </w:r>
    </w:p>
    <w:p>
      <w:pPr>
        <w:spacing w:after="0"/>
        <w:ind w:left="0"/>
        <w:jc w:val="both"/>
      </w:pPr>
      <w:r>
        <w:rPr>
          <w:rFonts w:ascii="Times New Roman"/>
          <w:b w:val="false"/>
          <w:i w:val="false"/>
          <w:color w:val="000000"/>
          <w:sz w:val="28"/>
        </w:rPr>
        <w:t>
      онкология ауруларымен зардап шегетін адамдарға;</w:t>
      </w:r>
    </w:p>
    <w:p>
      <w:pPr>
        <w:spacing w:after="0"/>
        <w:ind w:left="0"/>
        <w:jc w:val="both"/>
      </w:pPr>
      <w:r>
        <w:rPr>
          <w:rFonts w:ascii="Times New Roman"/>
          <w:b w:val="false"/>
          <w:i w:val="false"/>
          <w:color w:val="000000"/>
          <w:sz w:val="28"/>
        </w:rPr>
        <w:t>
      туберкулез ауруы бар адамдарға;</w:t>
      </w:r>
    </w:p>
    <w:p>
      <w:pPr>
        <w:spacing w:after="0"/>
        <w:ind w:left="0"/>
        <w:jc w:val="both"/>
      </w:pPr>
      <w:r>
        <w:rPr>
          <w:rFonts w:ascii="Times New Roman"/>
          <w:b w:val="false"/>
          <w:i w:val="false"/>
          <w:color w:val="000000"/>
          <w:sz w:val="28"/>
        </w:rPr>
        <w:t>
      адамның иммун тапшылығы вирусын жұқтырған адамдарға;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"инсулинге тәуелді бірінші типті қант диабеті" ауруынан зардап шегетін адамдарға;</w:t>
      </w:r>
    </w:p>
    <w:p>
      <w:pPr>
        <w:spacing w:after="0"/>
        <w:ind w:left="0"/>
        <w:jc w:val="both"/>
      </w:pPr>
      <w:r>
        <w:rPr>
          <w:rFonts w:ascii="Times New Roman"/>
          <w:b w:val="false"/>
          <w:i w:val="false"/>
          <w:color w:val="000000"/>
          <w:sz w:val="28"/>
        </w:rPr>
        <w:t>
      қант диабетімен ауыратын адамдарға;</w:t>
      </w:r>
    </w:p>
    <w:p>
      <w:pPr>
        <w:spacing w:after="0"/>
        <w:ind w:left="0"/>
        <w:jc w:val="both"/>
      </w:pPr>
      <w:r>
        <w:rPr>
          <w:rFonts w:ascii="Times New Roman"/>
          <w:b w:val="false"/>
          <w:i w:val="false"/>
          <w:color w:val="000000"/>
          <w:sz w:val="28"/>
        </w:rPr>
        <w:t>
      созылмалы вирустық гепатиттер және бауыр циррозынан зардап шегетін адамдарға;</w:t>
      </w:r>
    </w:p>
    <w:p>
      <w:pPr>
        <w:spacing w:after="0"/>
        <w:ind w:left="0"/>
        <w:jc w:val="both"/>
      </w:pPr>
      <w:r>
        <w:rPr>
          <w:rFonts w:ascii="Times New Roman"/>
          <w:b w:val="false"/>
          <w:i w:val="false"/>
          <w:color w:val="000000"/>
          <w:sz w:val="28"/>
        </w:rPr>
        <w:t>
      психикалық, мінез-құлық бұзылуларынан (аурулардан) зардап шегетін адамдарға;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миокардтың жіті инфаргімен ауыратын адамдарға (алғашқы 6 ай);</w:t>
      </w:r>
    </w:p>
    <w:p>
      <w:pPr>
        <w:spacing w:after="0"/>
        <w:ind w:left="0"/>
        <w:jc w:val="both"/>
      </w:pPr>
      <w:r>
        <w:rPr>
          <w:rFonts w:ascii="Times New Roman"/>
          <w:b w:val="false"/>
          <w:i w:val="false"/>
          <w:color w:val="000000"/>
          <w:sz w:val="28"/>
        </w:rPr>
        <w:t>
      ревматизммен зардап шегетін адамдарға;</w:t>
      </w:r>
    </w:p>
    <w:p>
      <w:pPr>
        <w:spacing w:after="0"/>
        <w:ind w:left="0"/>
        <w:jc w:val="both"/>
      </w:pPr>
      <w:r>
        <w:rPr>
          <w:rFonts w:ascii="Times New Roman"/>
          <w:b w:val="false"/>
          <w:i w:val="false"/>
          <w:color w:val="000000"/>
          <w:sz w:val="28"/>
        </w:rPr>
        <w:t>
      дәнекер тіннің жүйелі зақымдануларынан зардап шегетін адамдарға;</w:t>
      </w:r>
    </w:p>
    <w:p>
      <w:pPr>
        <w:spacing w:after="0"/>
        <w:ind w:left="0"/>
        <w:jc w:val="both"/>
      </w:pPr>
      <w:r>
        <w:rPr>
          <w:rFonts w:ascii="Times New Roman"/>
          <w:b w:val="false"/>
          <w:i w:val="false"/>
          <w:color w:val="000000"/>
          <w:sz w:val="28"/>
        </w:rPr>
        <w:t>
      нерв жүйесінің дегенерациялық ауруымен ауыратын адамдарға;</w:t>
      </w:r>
    </w:p>
    <w:p>
      <w:pPr>
        <w:spacing w:after="0"/>
        <w:ind w:left="0"/>
        <w:jc w:val="both"/>
      </w:pPr>
      <w:r>
        <w:rPr>
          <w:rFonts w:ascii="Times New Roman"/>
          <w:b w:val="false"/>
          <w:i w:val="false"/>
          <w:color w:val="000000"/>
          <w:sz w:val="28"/>
        </w:rPr>
        <w:t>
      орталық нерв жүйесінің миелинсіздендіруші ауруларынан зардап шегетін адамдарға;</w:t>
      </w:r>
    </w:p>
    <w:p>
      <w:pPr>
        <w:spacing w:after="0"/>
        <w:ind w:left="0"/>
        <w:jc w:val="both"/>
      </w:pPr>
      <w:r>
        <w:rPr>
          <w:rFonts w:ascii="Times New Roman"/>
          <w:b w:val="false"/>
          <w:i w:val="false"/>
          <w:color w:val="000000"/>
          <w:sz w:val="28"/>
        </w:rPr>
        <w:t>
      орфандық аурулардан зардап шегетін адамдарға;</w:t>
      </w:r>
    </w:p>
    <w:p>
      <w:pPr>
        <w:spacing w:after="0"/>
        <w:ind w:left="0"/>
        <w:jc w:val="both"/>
      </w:pPr>
      <w:r>
        <w:rPr>
          <w:rFonts w:ascii="Times New Roman"/>
          <w:b w:val="false"/>
          <w:i w:val="false"/>
          <w:color w:val="000000"/>
          <w:sz w:val="28"/>
        </w:rPr>
        <w:t>
      11) бас бостандығынан айыру орындарынан босатылған адамдарға және пробация қызметінің есебіндегі адамдарға;</w:t>
      </w:r>
    </w:p>
    <w:p>
      <w:pPr>
        <w:spacing w:after="0"/>
        <w:ind w:left="0"/>
        <w:jc w:val="both"/>
      </w:pPr>
      <w:r>
        <w:rPr>
          <w:rFonts w:ascii="Times New Roman"/>
          <w:b w:val="false"/>
          <w:i w:val="false"/>
          <w:color w:val="000000"/>
          <w:sz w:val="28"/>
        </w:rPr>
        <w:t>
      12) дүлей апаттың немесе өрттің туындаған сәтінен бастап үш ай ішінде осы жағдай салдарынан зардап шеккен адамдарға.</w:t>
      </w:r>
    </w:p>
    <w:bookmarkStart w:name="z16" w:id="14"/>
    <w:p>
      <w:pPr>
        <w:spacing w:after="0"/>
        <w:ind w:left="0"/>
        <w:jc w:val="both"/>
      </w:pPr>
      <w:r>
        <w:rPr>
          <w:rFonts w:ascii="Times New Roman"/>
          <w:b w:val="false"/>
          <w:i w:val="false"/>
          <w:color w:val="000000"/>
          <w:sz w:val="28"/>
        </w:rPr>
        <w:t>
      8. Уәкілетті орган кірісті есепке алмай көрсетеді:</w:t>
      </w:r>
    </w:p>
    <w:bookmarkEnd w:id="14"/>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Мемлекеттік корпорацияның тізімі негізінде 15 ақпан –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150 000 (жүз елу мың) теңге мөлшерінде;</w:t>
      </w:r>
    </w:p>
    <w:p>
      <w:pPr>
        <w:spacing w:after="0"/>
        <w:ind w:left="0"/>
        <w:jc w:val="both"/>
      </w:pPr>
      <w:r>
        <w:rPr>
          <w:rFonts w:ascii="Times New Roman"/>
          <w:b w:val="false"/>
          <w:i w:val="false"/>
          <w:color w:val="000000"/>
          <w:sz w:val="28"/>
        </w:rPr>
        <w:t>
      Бөлімнің тізімі негізінде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Мемлекеттік корпорацияның тізімі негізінде 26 сәуір – Радиациялық авариялар мен апаттардың салдарларын жоюға қатысушылар және осы авариялар мен апаттардың құрбандарын еске алу күніне орай:</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7 мамыр – Отан қорғаушы күніне орай:</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150 000 (жүз елу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9 мамыр – Жеңіс күніне орай:</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60 000 (алпыс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шеккендер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Мемлекеттік корпорацияның және Бөлімнің тізімі негізінде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адамдарға 60 000 (алпыс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1 қазан – Қарттар күніне орай:</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 3 (үш) АЕК мөлшерінде;</w:t>
      </w:r>
    </w:p>
    <w:p>
      <w:pPr>
        <w:spacing w:after="0"/>
        <w:ind w:left="0"/>
        <w:jc w:val="both"/>
      </w:pPr>
      <w:r>
        <w:rPr>
          <w:rFonts w:ascii="Times New Roman"/>
          <w:b w:val="false"/>
          <w:i w:val="false"/>
          <w:color w:val="000000"/>
          <w:sz w:val="28"/>
        </w:rPr>
        <w:t>
      Мемлекеттік корпорацияның тізімі негізінде 25 қазан – Қазақстан Республикасы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Мемлекеттік корпорацияның тізімі негізінде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1986 жылғы 17-18 желтоқсандағы Қазақстандағы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оқиғаларға қатысқан адамдарға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2) тармақшасында, 5) тармақшасының төртінші абзацында көрсетілген санаттар үшін Мемлекеттік корпорацияның тізімі негізінде сауықтыруға 50 (елу)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он сегіз жасқа дейінгі мүгедектігі бар балаларды санаторийлік-курорттық емдеуге алып жүруге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бесінші абзацтарында көрсетілген санаттар үшін Мемлекеттік корпорацияның тізімі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үшінші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жеке көмекшінің санаторийлік-курорттық емдеуге алып жүруіне 55 (елу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екінші, алтыншы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үшінші абзацында көрсетілген санат үшін шаруашылық жүргізу құқығындағы "Успен аудандық ауруханасы" коммуналдық мемлекеттік кәсіпорны (бұдан әрі – аудандық аурухана) ай сайын айдың 10-күніне ұсынатын тізім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төртінші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бесінші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7-тармағының </w:t>
      </w:r>
      <w:r>
        <w:rPr>
          <w:rFonts w:ascii="Times New Roman"/>
          <w:b w:val="false"/>
          <w:i w:val="false"/>
          <w:color w:val="000000"/>
          <w:sz w:val="28"/>
        </w:rPr>
        <w:t xml:space="preserve"> 10) тармақшасының жетінші, сегізінші, оныншы, он бірінші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- 5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тоғызыншы, он екінші, он үшінші, он төртінші, он бесінші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- 2 (екі)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он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5 (бес) АЕК мөлшеріндегі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12)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3) тармақшаларында, 4) тармақшасының төртінші абзацында, 5) тармақшасының екінші, төртінші абзацтарында көрсетілген санаттар үшін Мемлекеттік корпорацияның тізімі негізінде коммуналдық қызметтерге 3,6 (үш бүтін оннан алты)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абзацтарында көрсетілген санаттар үшін Мемлекеттік корпорацияның тізімі негізінде сауықтыруға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тармақшасының үшінші абзацында көрсетілген санат үшін Мемлекеттік корпорацияның тізімі негізінде сауықтыруға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оларды тұрақты көмекпен және күтіммен қамтамасыз ете алмайтын жақын туыстары бар мүгедектігі бар адамдарға) Бөлім тізімі негізінде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абзацында көрсетілген санат және еріп жүретін адам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жол жүру (емделу орнына дейін және тұратын жеріне дейін қайта келу) шығындарын өтеуге жол жүру билеттерінің нақты құны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жол жүру (емделу орнына дейін және тұрғылықты жеріне дейін қайта келу) шығындарын өтеуге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үшінші абзацында көрсетілген санат үшін аудандық аурухана ұсынатын тізім негізінде амбулаториялық емдеу кезеңінде тамақтануға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бесінші абзацында көрсетілген санат үшін аудандық аурухана ұсынатын тізім негізінде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Start w:name="z17" w:id="15"/>
    <w:p>
      <w:pPr>
        <w:spacing w:after="0"/>
        <w:ind w:left="0"/>
        <w:jc w:val="both"/>
      </w:pPr>
      <w:r>
        <w:rPr>
          <w:rFonts w:ascii="Times New Roman"/>
          <w:b w:val="false"/>
          <w:i w:val="false"/>
          <w:color w:val="000000"/>
          <w:sz w:val="28"/>
        </w:rPr>
        <w:t>
      9. Уәкілетті орган кірісті ескере отырып көрсетеді:</w:t>
      </w:r>
    </w:p>
    <w:bookmarkEnd w:id="15"/>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Успен ауданының әкімі, жоғары оқу орнының басшысы және студент қол қойған білім беру қызметтерін көрсетуге арналған үшжақты шартта көрсетілген сома төленеді;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екінші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дейінгі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үшінші, төртінші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қатты отын сатып алуға әлеуметтік көмек 14 (он төрт) АЕК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оқу кезеңінде тұруға, тамақтануға және тұрғылықты жеріне жол жүруге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бесінші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ата-анасының біреуінің әлеуметтік көмек тағайындау туралы өтініші негізінде 5 (бес) АЕК мөлшерінде.</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 облыстың ЖАО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12. Әлеуметтік көмек көрсету тәртібі, көрсетілетін әлеуметтік көмекті тоқтату және қайтару үшін негіздер Үлгілік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9"/>
    <w:bookmarkStart w:name="z22" w:id="20"/>
    <w:p>
      <w:pPr>
        <w:spacing w:after="0"/>
        <w:ind w:left="0"/>
        <w:jc w:val="both"/>
      </w:pPr>
      <w:r>
        <w:rPr>
          <w:rFonts w:ascii="Times New Roman"/>
          <w:b w:val="false"/>
          <w:i w:val="false"/>
          <w:color w:val="000000"/>
          <w:sz w:val="28"/>
        </w:rPr>
        <w:t>
      13. Әлеуметтік көмек көрсетуді мониторингтеу мен есепке алуды Бөлім "Е-Собес" автоматтандырылған ақпараттық жүйесінің дерекқорын пайдалана отырып жүргізеді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