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8d2f" w14:textId="734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2024 жылғы 13 қыркүйектегі № 339 қаулысы. Түркістан облысының Әдiлет департаментiнде 2024 жылғы 16 қыркүйекте № 6585-13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әкімдігінің 2017 жылғы 21 желтоқсандағы № 351 "Азаматтық қызметшілер болып табылатын және ауылдық жерде жұмыс істейтін денсаулық сақтау, әлеуметтік қамсыздандыру, бiлiм беру, мәдениет, спорт және ветеринария саласындағы"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10 қаңтарда № 4391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қала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лауазымдарының тізбесі: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және мемлекеттік қазыналық кәсіпорын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және мемлекеттік қазыналық кәсіпорын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бөлімше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жұмыс жөніндегі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үйде қызмет көрсету ұйымы бөлімшесінің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арнаулы әлеуметтік қызметтерге қажеттілікті бағалау және айқындау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қарттар мен мүгедектігі бар адамдарға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медициналық мейіргердің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емдік денешынықтыру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әдіскер.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лауазымдарының тізбесі: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 (директоры);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және мемлекеттік қазыналық кәсіпорын басшысының (директоры)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және мемлекеттік қазыналық кәсіпорын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бөлімше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барлық атаудағы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дизайнер;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дыбыс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 ұйымдастырушы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хормейстер;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ұжым (үйірме)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барлық атаудағы менеджер;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суретші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әкімші;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барлық мамандықтағы мұғалімдері;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көркемдік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дыбыс өңдеуші;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бас дирижер;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атаудағы әртістері;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редактор.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 лауазымдарының тізбесі: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және мемлекеттік қазыналық кәсіпорын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бөлімше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жаттықтырушы;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нұсқаушы-спортшы;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(мамандандырылған) медициналық бике/аға;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жаттықтырушы-массажшы;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жаттықтырушы-оқытушы.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