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6a6" w14:textId="b36d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Жоғарылатылған лауазымдық айлықақылар мен тарифтiк мөлшерлемелер белгілеу туралы</w:t>
      </w:r>
    </w:p>
    <w:p>
      <w:pPr>
        <w:spacing w:after="0"/>
        <w:ind w:left="0"/>
        <w:jc w:val="both"/>
      </w:pPr>
      <w:r>
        <w:rPr>
          <w:rFonts w:ascii="Times New Roman"/>
          <w:b w:val="false"/>
          <w:i w:val="false"/>
          <w:color w:val="000000"/>
          <w:sz w:val="28"/>
        </w:rPr>
        <w:t>Шығыс Қазақстан облысы Самар ауданы мәслихатының 2024 жылғы 25 қарашадағы № 16-2/VIII шешімі. Шығыс Қазақстан облысының Әділет департаментінде 2024 жылғы 29 қарашада № 9111-16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Самар ауданының мәслихаты ШЕШІМ ҚАБЫЛДАДЫ:</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Самар ауданының елді мекендерінде ауылдық елді мекендерде жұмыс iстейтiн әлеуметтiк қамсыздандыру және мәдениет саласындағы мамандарға, егер Қазақстан Республикасының заңдарында өзгеше белгiленбесе,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bookmarkStart w:name="z7"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Самар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