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826a" w14:textId="9e28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5 шілдедегі № 4/25-VIII шешімі. Шығыс Қазақстан облысының Әділет департаментінде 2024 жылғы 10 шілдеде № 9052-16 болып тіркелді</w:t>
      </w:r>
    </w:p>
    <w:p>
      <w:pPr>
        <w:spacing w:after="0"/>
        <w:ind w:left="0"/>
        <w:jc w:val="both"/>
      </w:pPr>
      <w:bookmarkStart w:name="z5" w:id="0"/>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 – бабының</w:t>
      </w:r>
      <w:r>
        <w:rPr>
          <w:rFonts w:ascii="Times New Roman"/>
          <w:b w:val="false"/>
          <w:i w:val="false"/>
          <w:color w:val="000000"/>
          <w:sz w:val="28"/>
        </w:rPr>
        <w:t xml:space="preserve"> 4) тармақшасына сәйкес, Үлкен Нарын ауданы мәслихаты ШЕШIМ ҚАБЫЛДАДЫ:</w:t>
      </w:r>
    </w:p>
    <w:bookmarkEnd w:id="0"/>
    <w:bookmarkStart w:name="z6" w:id="1"/>
    <w:p>
      <w:pPr>
        <w:spacing w:after="0"/>
        <w:ind w:left="0"/>
        <w:jc w:val="both"/>
      </w:pPr>
      <w:r>
        <w:rPr>
          <w:rFonts w:ascii="Times New Roman"/>
          <w:b w:val="false"/>
          <w:i w:val="false"/>
          <w:color w:val="000000"/>
          <w:sz w:val="28"/>
        </w:rPr>
        <w:t xml:space="preserve">
      1. Үлкен Нарын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5 шілдедегі </w:t>
            </w:r>
            <w:r>
              <w:br/>
            </w:r>
            <w:r>
              <w:rPr>
                <w:rFonts w:ascii="Times New Roman"/>
                <w:b w:val="false"/>
                <w:i w:val="false"/>
                <w:color w:val="000000"/>
                <w:sz w:val="20"/>
              </w:rPr>
              <w:t xml:space="preserve">№ 4/25-VIII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Үлкен Нарын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11" w:id="4"/>
    <w:p>
      <w:pPr>
        <w:spacing w:after="0"/>
        <w:ind w:left="0"/>
        <w:jc w:val="both"/>
      </w:pPr>
      <w:r>
        <w:rPr>
          <w:rFonts w:ascii="Times New Roman"/>
          <w:b w:val="false"/>
          <w:i w:val="false"/>
          <w:color w:val="000000"/>
          <w:sz w:val="28"/>
        </w:rPr>
        <w:t xml:space="preserve">
      1. Осы Үлкен Нарын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қарай-шығындарды өтеу қағидалары) сәйкес әзірленді.</w:t>
      </w:r>
    </w:p>
    <w:bookmarkEnd w:id="4"/>
    <w:bookmarkStart w:name="z12"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"Үлкен Нарын ауданының жұмыспен қамту және әлеуметтік бағдарламалар бөлімі" мемлекеттік мекемесімен жүргізеді.</w:t>
      </w:r>
    </w:p>
    <w:bookmarkEnd w:id="5"/>
    <w:bookmarkStart w:name="z13"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үйде оқытылатын мүгедектігі бар балалардың ата-анасының біреуіне немесе өзге заңды өкілдеріне беріледі.</w:t>
      </w:r>
    </w:p>
    <w:bookmarkEnd w:id="6"/>
    <w:bookmarkStart w:name="z14"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5" w:id="8"/>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6" w:id="9"/>
    <w:p>
      <w:pPr>
        <w:spacing w:after="0"/>
        <w:ind w:left="0"/>
        <w:jc w:val="both"/>
      </w:pPr>
      <w:r>
        <w:rPr>
          <w:rFonts w:ascii="Times New Roman"/>
          <w:b w:val="false"/>
          <w:i w:val="false"/>
          <w:color w:val="000000"/>
          <w:sz w:val="28"/>
        </w:rPr>
        <w:t xml:space="preserve">
      6. Оқытуға жұмсаған шығындарды өндіріп алу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белгіленген тізбеге сәйкес ұсынылады.</w:t>
      </w:r>
    </w:p>
    <w:bookmarkEnd w:id="9"/>
    <w:bookmarkStart w:name="z17" w:id="10"/>
    <w:p>
      <w:pPr>
        <w:spacing w:after="0"/>
        <w:ind w:left="0"/>
        <w:jc w:val="both"/>
      </w:pPr>
      <w:r>
        <w:rPr>
          <w:rFonts w:ascii="Times New Roman"/>
          <w:b w:val="false"/>
          <w:i w:val="false"/>
          <w:color w:val="000000"/>
          <w:sz w:val="28"/>
        </w:rPr>
        <w:t>
      7. Оқытуға жұмсаған шығындарды өндіріп алу әр мүгедектігі бар балаға айына төрт айлық есептік көрсеткіш мөлшеріне тең.</w:t>
      </w:r>
    </w:p>
    <w:bookmarkEnd w:id="10"/>
    <w:bookmarkStart w:name="z18" w:id="11"/>
    <w:p>
      <w:pPr>
        <w:spacing w:after="0"/>
        <w:ind w:left="0"/>
        <w:jc w:val="both"/>
      </w:pPr>
      <w:r>
        <w:rPr>
          <w:rFonts w:ascii="Times New Roman"/>
          <w:b w:val="false"/>
          <w:i w:val="false"/>
          <w:color w:val="000000"/>
          <w:sz w:val="28"/>
        </w:rPr>
        <w:t xml:space="preserve">
      8. Үйде оқытуға жұмсаған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