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0e20" w14:textId="9a20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"Бөкейорда" мемлекеттік табиғи резерваты" республикалық мемлекеттік мекемесінің және Ащыөзек республикалық маңызы бар мемлекеттік табиғи қаумалының (зоологиялық) 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22 қарашадағы № 323 қаулысы. Батыс Қазақстан облысының Әділет департаментінде 2024 жылғы 26 қарашада № 7455-07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"Бөкейорда" мемлекеттік табиғи резерваты" республикалық мемлекеттік мекемесін және "Ащыөзек" республикалық маңызы бар мемлекеттік табиғи қаумалын (зоологиялық) қолайсыз сыртқы әсерлерден ерекше күзету және қорғауды қамтамасыз ету мақсатында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"Ерекше қорғалатын табиғи аумақтар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өзін-өзін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"Бөкейорда" мемлекеттік табиғи резерваты" республикалық мемлекеттік мекемесінің күзет аймағы ауданы ретінде 124 381 га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"Ащыөзек" мемлекеттік табиғи зоологиялық қаумалының аумағында шаруашылық қызметтің реттелетін режимі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қолданыстағы заңнамасында белгіленген талаптарға сәйкес қорғау аймағындағы табиғатты пайдалану режимі мен тәртібі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"Бөкейорда" мемлекеттік табиғи резерваты" мемлекеттік мекемесіне қорғау аймағының шекарасын арнайы белгілермен белгілеу ұсынылсын.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"Батыс Қазақстан облысының табиғи ресурстар және табиғат пайдалануды реттеу басқармасы" мемлекеттік мекемесі осы қаулыдан туындайтын қажетті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орынбасары Қ.Ш.Айтмұхамбетовке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оның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