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adda" w14:textId="e10a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бойынша жер үсті көздеріндегі су ресурстарын пайдаланғаны үшін төлемақы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2024 жылғы 13 желтоқсандағы № 16-3 шешімі. Батыс Қазақстан облысының Әділет департаментінде 2024 жылғы 20 желтоқсанда № 7466-07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Су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облыстық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 Батыс Қазақстан облысы бойынша жер үсті көздеріндегі су ресурстарын пайдаланғаны үшін төлемақы мөлшерлемелері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облыстық мәслихатының "2021 жылға арналған Батыс Қазақстан облысы бойынша жер үсті көздеріндегі су ресурстарын пайдаланғаны үшін төлемақы мөлшерлемелерін бекіту туралы" 2021 жылғы 19 наурыздағы №3-5 (Нормативтік құқықтық актілерді мемлекеттік тіркеу тізілімінде №6861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Батыс Қазақстан облыстық мәслихаты аппаратының басшысы осы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16-3 шешіміне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жер үсті көздеріндегі су ресурстарын пайдаланғаны үшін төлемақы мөлшерлемелері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мөлшерлемелері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