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6450" w14:textId="d1c6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2025 - 2027 жылдарда субсидиялауға жататын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28 ақпандағы № 19/219 шешімі. Маңғыстау облысы Әділет департаментінде 2025 жылғы 5 наурызда № 4771-12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Республикасының Инвестициялар және даму министрінің міндетін атқарушының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12353 болып тіркелген),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бойынша 2025-2027 жылдарда субсидиялауға жататын әлеуметтік маңызы бар қатынастардың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19/219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2025-2027 жылдарда субсидиялауға жататын әлеуметтік маңызы бар қатынастардың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және (немесе)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түрі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"Құрық – Қарақия стансасы"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"Жетібай – Мұнайшы (Жетібай стансасы)"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