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9f84" w14:textId="43f9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сәулет келбетін қалыптастыру және қала құрылысын жоспарлау қағидаларын бекіту туралы</w:t>
      </w:r>
    </w:p>
    <w:p>
      <w:pPr>
        <w:spacing w:after="0"/>
        <w:ind w:left="0"/>
        <w:jc w:val="both"/>
      </w:pPr>
      <w:r>
        <w:rPr>
          <w:rFonts w:ascii="Times New Roman"/>
          <w:b w:val="false"/>
          <w:i w:val="false"/>
          <w:color w:val="000000"/>
          <w:sz w:val="28"/>
        </w:rPr>
        <w:t>Түркістан облысы Түркiстан қалалық мәслихатының 2025 жылғы 18 сәуірдегі № 29/134-VIII шешiмi. Түркістан облысының Әдiлет департаментiнде 2025 жылғы 18 сәуірде № 6684-13 болып тiркелдi</w:t>
      </w:r>
    </w:p>
    <w:p>
      <w:pPr>
        <w:spacing w:after="0"/>
        <w:ind w:left="0"/>
        <w:jc w:val="both"/>
      </w:pPr>
      <w:bookmarkStart w:name="z1" w:id="0"/>
      <w:r>
        <w:rPr>
          <w:rFonts w:ascii="Times New Roman"/>
          <w:b w:val="false"/>
          <w:i w:val="false"/>
          <w:color w:val="000000"/>
          <w:sz w:val="28"/>
        </w:rPr>
        <w:t xml:space="preserve">
      "Түркістан қаласының ерекше мәртебесі туралы" Қазақстан Республикасының Заңының 8-бабының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қаласының сәулет келбетін қалыптастыру және қала құрылысын жоспарлау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Сарсенбаев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өнеркәсіп және құрылысы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2025 жылғы 18 сәуірдегі</w:t>
            </w:r>
            <w:r>
              <w:br/>
            </w:r>
            <w:r>
              <w:rPr>
                <w:rFonts w:ascii="Times New Roman"/>
                <w:b w:val="false"/>
                <w:i w:val="false"/>
                <w:color w:val="000000"/>
                <w:sz w:val="20"/>
              </w:rPr>
              <w:t>№29/134-VIII шешіміне қосымша</w:t>
            </w:r>
          </w:p>
        </w:tc>
      </w:tr>
    </w:tbl>
    <w:p>
      <w:pPr>
        <w:spacing w:after="0"/>
        <w:ind w:left="0"/>
        <w:jc w:val="left"/>
      </w:pPr>
      <w:r>
        <w:rPr>
          <w:rFonts w:ascii="Times New Roman"/>
          <w:b/>
          <w:i w:val="false"/>
          <w:color w:val="000000"/>
        </w:rPr>
        <w:t xml:space="preserve"> Түркістан қаласының сәулет келбетін қалыптастыру және қала құрылысын жоспарлау қағидалары 1-Тарау. Жалпы ережелер</w:t>
      </w:r>
    </w:p>
    <w:p>
      <w:pPr>
        <w:spacing w:after="0"/>
        <w:ind w:left="0"/>
        <w:jc w:val="both"/>
      </w:pPr>
      <w:r>
        <w:rPr>
          <w:rFonts w:ascii="Times New Roman"/>
          <w:b w:val="false"/>
          <w:i w:val="false"/>
          <w:color w:val="000000"/>
          <w:sz w:val="28"/>
        </w:rPr>
        <w:t>
      1. Осы Қағидалар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(бұдан әрі – Заң), "Түркістан қаласының ерекше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әзірленді және тарихи, табиғи-ландшафттық, функционалдық, жергілікті ерекшеліктерді ескере отырып, Түркістан қаласының сәулет келбетін қалыптастыру және қала құрылысын бақылау тәртібін (бұдан әрі – Қағидалар) айқындайды.</w:t>
      </w:r>
    </w:p>
    <w:p>
      <w:pPr>
        <w:spacing w:after="0"/>
        <w:ind w:left="0"/>
        <w:jc w:val="both"/>
      </w:pPr>
      <w:r>
        <w:rPr>
          <w:rFonts w:ascii="Times New Roman"/>
          <w:b w:val="false"/>
          <w:i w:val="false"/>
          <w:color w:val="000000"/>
          <w:sz w:val="28"/>
        </w:rPr>
        <w:t>
      2. Осы Қағидаларда келесі ұғымдар пайдаланылады:</w:t>
      </w:r>
    </w:p>
    <w:p>
      <w:pPr>
        <w:spacing w:after="0"/>
        <w:ind w:left="0"/>
        <w:jc w:val="both"/>
      </w:pPr>
      <w:r>
        <w:rPr>
          <w:rFonts w:ascii="Times New Roman"/>
          <w:b w:val="false"/>
          <w:i w:val="false"/>
          <w:color w:val="000000"/>
          <w:sz w:val="28"/>
        </w:rPr>
        <w:t>
      1) жеке тұрғын үй құрылысы – белгіленген тәртіппен бекітіліп берілген жер учаскесінде азаматтардың өз күшімен, мердігерлік немесе заңдарда тыйым салынбаған басқа да әдіспен жеке тұрғын үйлер салуы;</w:t>
      </w:r>
    </w:p>
    <w:p>
      <w:pPr>
        <w:spacing w:after="0"/>
        <w:ind w:left="0"/>
        <w:jc w:val="both"/>
      </w:pPr>
      <w:r>
        <w:rPr>
          <w:rFonts w:ascii="Times New Roman"/>
          <w:b w:val="false"/>
          <w:i w:val="false"/>
          <w:color w:val="000000"/>
          <w:sz w:val="28"/>
        </w:rPr>
        <w:t>
      2) қайта жабдықтау – үй-жайдың (үй-жайлардың) тіршілікті қамтамасыз ету және пайдалану үшін қажетті өзінің функционалдық мақсатының өзгеруіне, технологиялық және (немесе) инженерлік жабдықтардың ішкі жүйесін толық немесе ішінара ауыстыруға байланысты өзгертілуі;</w:t>
      </w:r>
    </w:p>
    <w:p>
      <w:pPr>
        <w:spacing w:after="0"/>
        <w:ind w:left="0"/>
        <w:jc w:val="both"/>
      </w:pPr>
      <w:r>
        <w:rPr>
          <w:rFonts w:ascii="Times New Roman"/>
          <w:b w:val="false"/>
          <w:i w:val="false"/>
          <w:color w:val="000000"/>
          <w:sz w:val="28"/>
        </w:rPr>
        <w:t>
      3) қайта жобалау – осы үй-жайдың (үй-жайлардың) шегін өзгеруге ілесетін, үй-жайдың (үй-жайлардың) жоспарының өзгертілуі;</w:t>
      </w:r>
    </w:p>
    <w:p>
      <w:pPr>
        <w:spacing w:after="0"/>
        <w:ind w:left="0"/>
        <w:jc w:val="both"/>
      </w:pPr>
      <w:r>
        <w:rPr>
          <w:rFonts w:ascii="Times New Roman"/>
          <w:b w:val="false"/>
          <w:i w:val="false"/>
          <w:color w:val="000000"/>
          <w:sz w:val="28"/>
        </w:rPr>
        <w:t>
      4) құрылыс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мақсаттағы негiзгi қорларды құру жөнiндегi қызмет;</w:t>
      </w:r>
    </w:p>
    <w:p>
      <w:pPr>
        <w:spacing w:after="0"/>
        <w:ind w:left="0"/>
        <w:jc w:val="both"/>
      </w:pPr>
      <w:r>
        <w:rPr>
          <w:rFonts w:ascii="Times New Roman"/>
          <w:b w:val="false"/>
          <w:i w:val="false"/>
          <w:color w:val="000000"/>
          <w:sz w:val="28"/>
        </w:rPr>
        <w:t>
      5)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p>
      <w:pPr>
        <w:spacing w:after="0"/>
        <w:ind w:left="0"/>
        <w:jc w:val="both"/>
      </w:pPr>
      <w:r>
        <w:rPr>
          <w:rFonts w:ascii="Times New Roman"/>
          <w:b w:val="false"/>
          <w:i w:val="false"/>
          <w:color w:val="000000"/>
          <w:sz w:val="28"/>
        </w:rPr>
        <w:t>
      6) нобай (нобайлық жоба) – жобалық (жоспарлық, кеңiстiктiк, сәулеттiк, технологиялық, конструкциялық, инженерлiк, әшекейлік немесе басқа) шешiмнiң оңайлатылған, схема, сызба, бастапқы сұлба (сурет) нысанында орындалған және осы шешiмнiң түпкi ойын түсiндiретiн түрi;</w:t>
      </w:r>
    </w:p>
    <w:p>
      <w:pPr>
        <w:spacing w:after="0"/>
        <w:ind w:left="0"/>
        <w:jc w:val="both"/>
      </w:pPr>
      <w:r>
        <w:rPr>
          <w:rFonts w:ascii="Times New Roman"/>
          <w:b w:val="false"/>
          <w:i w:val="false"/>
          <w:color w:val="000000"/>
          <w:sz w:val="28"/>
        </w:rPr>
        <w:t>
      7)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есеп-қисаптар), оның ішінде құрылыстың техникалық-экономикалық негіздемесі және (немесе) жобалау-сметалық құжаттамасы нысанында ұсынылған, адамның мекендеуі мен тыныс-тіршілігіне қажетті жағдайларды қамтамасыз ету жөніндегі түпкі ойы;</w:t>
      </w:r>
    </w:p>
    <w:p>
      <w:pPr>
        <w:spacing w:after="0"/>
        <w:ind w:left="0"/>
        <w:jc w:val="both"/>
      </w:pPr>
      <w:r>
        <w:rPr>
          <w:rFonts w:ascii="Times New Roman"/>
          <w:b w:val="false"/>
          <w:i w:val="false"/>
          <w:color w:val="000000"/>
          <w:sz w:val="28"/>
        </w:rPr>
        <w:t>
      8) Дизайн-код – елді мекендердің стилистикалық бірыңғай сәулеттік келбетін, жайлы және қауіпсіз қалалық ортаны қалыптастыруға бағытталған, оның ішінде абаттандыру элементтерін, ақпараттық конструкцияларды (маңдайшалар, қалалық навигация), жарнамалық контрқұрылымдарды, стационарлық емес объектілерді (маусымдық кафелер, дүңгіршектер) көгалдандыру, жарықтандыру, қасбеттер, қоршауларды орналастыруға қатысты талаптар;</w:t>
      </w:r>
    </w:p>
    <w:p>
      <w:pPr>
        <w:spacing w:after="0"/>
        <w:ind w:left="0"/>
        <w:jc w:val="both"/>
      </w:pPr>
      <w:r>
        <w:rPr>
          <w:rFonts w:ascii="Times New Roman"/>
          <w:b w:val="false"/>
          <w:i w:val="false"/>
          <w:color w:val="000000"/>
          <w:sz w:val="28"/>
        </w:rPr>
        <w:t>
      9) елді мекеннің бас жоспары – аймақтарға бөлудi, оның аумағының жоспарлы құрылымы мен функционалдық ұйымдастыруды, көлiк және инженерлiк коммуникацияларды, көгалдандыру мен абаттандыру жүйелерiн белгiлейтiн, қаланы дамыту мен салуды кешендi жоспарлаудың қала құрылысы жобасы;</w:t>
      </w:r>
    </w:p>
    <w:p>
      <w:pPr>
        <w:spacing w:after="0"/>
        <w:ind w:left="0"/>
        <w:jc w:val="both"/>
      </w:pPr>
      <w:r>
        <w:rPr>
          <w:rFonts w:ascii="Times New Roman"/>
          <w:b w:val="false"/>
          <w:i w:val="false"/>
          <w:color w:val="000000"/>
          <w:sz w:val="28"/>
        </w:rPr>
        <w:t>
      10) елдi мекеннiң аумағы – қалалық елді мекеннің белгіленген шекара (ішкі аумағы) шегіндегі кеңiстiк;</w:t>
      </w:r>
    </w:p>
    <w:p>
      <w:pPr>
        <w:spacing w:after="0"/>
        <w:ind w:left="0"/>
        <w:jc w:val="both"/>
      </w:pPr>
      <w:r>
        <w:rPr>
          <w:rFonts w:ascii="Times New Roman"/>
          <w:b w:val="false"/>
          <w:i w:val="false"/>
          <w:color w:val="000000"/>
          <w:sz w:val="28"/>
        </w:rPr>
        <w:t>
      11) егжей-тегжейлі жоспарлау жобасы – елді мекендер аумақтарының жекелеген бөліктері мен функционалдық аймақтары, сондай-ақ елді мекендердің шегінен тыс жерде орналасқан аумақтар үшін әзірленетін қала құрылысы құжаттамасы;</w:t>
      </w:r>
    </w:p>
    <w:p>
      <w:pPr>
        <w:spacing w:after="0"/>
        <w:ind w:left="0"/>
        <w:jc w:val="both"/>
      </w:pPr>
      <w:r>
        <w:rPr>
          <w:rFonts w:ascii="Times New Roman"/>
          <w:b w:val="false"/>
          <w:i w:val="false"/>
          <w:color w:val="000000"/>
          <w:sz w:val="28"/>
        </w:rPr>
        <w:t xml:space="preserve">
      12) қала құрылысының регламенттерi – аумақтарды (жер учаскелерiн) және басқа да жылжымайтын мүлiк объектiлерiн пайдаланудың, сондай-ақ олардың жай-күйiнiң заңнамада белгiленген тәртiппен жол берiлетiн кез келген өзгерiстерiнiң режимдерi, рұқсаттары, шектеулерi (ауыртпалық салуды, тыйым салу мен сервитуттарды қоса алғанда); </w:t>
      </w:r>
    </w:p>
    <w:p>
      <w:pPr>
        <w:spacing w:after="0"/>
        <w:ind w:left="0"/>
        <w:jc w:val="both"/>
      </w:pPr>
      <w:r>
        <w:rPr>
          <w:rFonts w:ascii="Times New Roman"/>
          <w:b w:val="false"/>
          <w:i w:val="false"/>
          <w:color w:val="000000"/>
          <w:sz w:val="28"/>
        </w:rPr>
        <w:t xml:space="preserve">
      Қала құрылысының регламенттерi мемлекеттiк нормативтерге сәйкес орындалған қала құрылысы және сәулет-құрылыс құжаттамасымен белгiленедi. Қала құрылысы регламенттерiнiң қолданылуы олар үшiн белгiленген мерзiм шегiнде шектеледi; </w:t>
      </w:r>
    </w:p>
    <w:p>
      <w:pPr>
        <w:spacing w:after="0"/>
        <w:ind w:left="0"/>
        <w:jc w:val="both"/>
      </w:pPr>
      <w:r>
        <w:rPr>
          <w:rFonts w:ascii="Times New Roman"/>
          <w:b w:val="false"/>
          <w:i w:val="false"/>
          <w:color w:val="000000"/>
          <w:sz w:val="28"/>
        </w:rPr>
        <w:t xml:space="preserve">
      13) қала құрылысын реттеу аумағы – шегiнде қандай да болсын сәулет, қала құрылысы және құрылыс қызметi жүзеге асырылатын аумақ. </w:t>
      </w:r>
    </w:p>
    <w:p>
      <w:pPr>
        <w:spacing w:after="0"/>
        <w:ind w:left="0"/>
        <w:jc w:val="both"/>
      </w:pPr>
      <w:r>
        <w:rPr>
          <w:rFonts w:ascii="Times New Roman"/>
          <w:b w:val="false"/>
          <w:i w:val="false"/>
          <w:color w:val="000000"/>
          <w:sz w:val="28"/>
        </w:rPr>
        <w:t xml:space="preserve">
      3. Осы Қағидалардың міндеттері: </w:t>
      </w:r>
    </w:p>
    <w:p>
      <w:pPr>
        <w:spacing w:after="0"/>
        <w:ind w:left="0"/>
        <w:jc w:val="both"/>
      </w:pPr>
      <w:r>
        <w:rPr>
          <w:rFonts w:ascii="Times New Roman"/>
          <w:b w:val="false"/>
          <w:i w:val="false"/>
          <w:color w:val="000000"/>
          <w:sz w:val="28"/>
        </w:rPr>
        <w:t>
      1) қала тұрғындарының заманауи қажеттіліктеріне сәйкес келетін сапалы қалалық ортаны құру мен дамытудың кешенді тәсілін қалыптастыру;</w:t>
      </w:r>
    </w:p>
    <w:p>
      <w:pPr>
        <w:spacing w:after="0"/>
        <w:ind w:left="0"/>
        <w:jc w:val="both"/>
      </w:pPr>
      <w:r>
        <w:rPr>
          <w:rFonts w:ascii="Times New Roman"/>
          <w:b w:val="false"/>
          <w:i w:val="false"/>
          <w:color w:val="000000"/>
          <w:sz w:val="28"/>
        </w:rPr>
        <w:t>
      2) қаланың бүкіл аумағын жүйелі және тұрақты дамыту процесін сәулет және қала құрылысы құралдарымен қамтамасыз ету болып табылады.</w:t>
      </w:r>
    </w:p>
    <w:p>
      <w:pPr>
        <w:spacing w:after="0"/>
        <w:ind w:left="0"/>
        <w:jc w:val="left"/>
      </w:pPr>
      <w:r>
        <w:rPr>
          <w:rFonts w:ascii="Times New Roman"/>
          <w:b/>
          <w:i w:val="false"/>
          <w:color w:val="000000"/>
        </w:rPr>
        <w:t xml:space="preserve"> 2-Тарау. Сәулет келбетті қалыптастыру және қала құрылысын жоспарлау тәртібі</w:t>
      </w:r>
    </w:p>
    <w:p>
      <w:pPr>
        <w:spacing w:after="0"/>
        <w:ind w:left="0"/>
        <w:jc w:val="both"/>
      </w:pPr>
      <w:r>
        <w:rPr>
          <w:rFonts w:ascii="Times New Roman"/>
          <w:b w:val="false"/>
          <w:i w:val="false"/>
          <w:color w:val="000000"/>
          <w:sz w:val="28"/>
        </w:rPr>
        <w:t xml:space="preserve">
      4. Түркістан қаласының сәулет келбетін қалыптастыру және қала құрылысын жоспарлау кезінде: </w:t>
      </w:r>
    </w:p>
    <w:p>
      <w:pPr>
        <w:spacing w:after="0"/>
        <w:ind w:left="0"/>
        <w:jc w:val="both"/>
      </w:pPr>
      <w:r>
        <w:rPr>
          <w:rFonts w:ascii="Times New Roman"/>
          <w:b w:val="false"/>
          <w:i w:val="false"/>
          <w:color w:val="000000"/>
          <w:sz w:val="28"/>
        </w:rPr>
        <w:t>
      1) аумақтың кешенді қауіпсіздігін және оны табиғи және техногендік сипаттағы төтенше жағдайлардың әсерінен қорғауды қамтамасыз ету;</w:t>
      </w:r>
    </w:p>
    <w:p>
      <w:pPr>
        <w:spacing w:after="0"/>
        <w:ind w:left="0"/>
        <w:jc w:val="both"/>
      </w:pPr>
      <w:r>
        <w:rPr>
          <w:rFonts w:ascii="Times New Roman"/>
          <w:b w:val="false"/>
          <w:i w:val="false"/>
          <w:color w:val="000000"/>
          <w:sz w:val="28"/>
        </w:rPr>
        <w:t>
      2) Қазақстан Республикасының аумағында қолданылатын нормативтік-техникалық талаптарды, қаланың Бас жоспарын, сондай-ақ қаланың қорғау және құрылыс салуды реттеу аймақтарында құрылыс салуға қойылатын талаптарды сақтау;</w:t>
      </w:r>
    </w:p>
    <w:p>
      <w:pPr>
        <w:spacing w:after="0"/>
        <w:ind w:left="0"/>
        <w:jc w:val="both"/>
      </w:pPr>
      <w:r>
        <w:rPr>
          <w:rFonts w:ascii="Times New Roman"/>
          <w:b w:val="false"/>
          <w:i w:val="false"/>
          <w:color w:val="000000"/>
          <w:sz w:val="28"/>
        </w:rPr>
        <w:t>
      3) қаланың бірегей келбетін қалыптастыра отырып, Қожа Ахмет Ясауи кесенесін сақтау;</w:t>
      </w:r>
    </w:p>
    <w:p>
      <w:pPr>
        <w:spacing w:after="0"/>
        <w:ind w:left="0"/>
        <w:jc w:val="both"/>
      </w:pPr>
      <w:r>
        <w:rPr>
          <w:rFonts w:ascii="Times New Roman"/>
          <w:b w:val="false"/>
          <w:i w:val="false"/>
          <w:color w:val="000000"/>
          <w:sz w:val="28"/>
        </w:rPr>
        <w:t>
      4) қала аумағының нормативтік және табиғи желдетілуін, инсоляция және орта шуынан қорғалуын сәулет және қала құрылысы әдістерімен қамтамасыз ету;</w:t>
      </w:r>
    </w:p>
    <w:p>
      <w:pPr>
        <w:spacing w:after="0"/>
        <w:ind w:left="0"/>
        <w:jc w:val="both"/>
      </w:pPr>
      <w:r>
        <w:rPr>
          <w:rFonts w:ascii="Times New Roman"/>
          <w:b w:val="false"/>
          <w:i w:val="false"/>
          <w:color w:val="000000"/>
          <w:sz w:val="28"/>
        </w:rPr>
        <w:t>
      5) қадамдық қолжетімділік талаптарын ескере отырып, функционалдық аймақтарды ықшамдап орналастыру және қоғамдық орталықтар жүйесімен, әлеуметтік және күнделікті қамтамасыз ету, инженерлік және көлік инфрақұрылымы объектілерімен өзара байланыстыру;</w:t>
      </w:r>
    </w:p>
    <w:p>
      <w:pPr>
        <w:spacing w:after="0"/>
        <w:ind w:left="0"/>
        <w:jc w:val="both"/>
      </w:pPr>
      <w:r>
        <w:rPr>
          <w:rFonts w:ascii="Times New Roman"/>
          <w:b w:val="false"/>
          <w:i w:val="false"/>
          <w:color w:val="000000"/>
          <w:sz w:val="28"/>
        </w:rPr>
        <w:t xml:space="preserve">
      6) қала аумағында қала құрылысы регламентін сақтау қажет. </w:t>
      </w:r>
    </w:p>
    <w:p>
      <w:pPr>
        <w:spacing w:after="0"/>
        <w:ind w:left="0"/>
        <w:jc w:val="both"/>
      </w:pPr>
      <w:r>
        <w:rPr>
          <w:rFonts w:ascii="Times New Roman"/>
          <w:b w:val="false"/>
          <w:i w:val="false"/>
          <w:color w:val="000000"/>
          <w:sz w:val="28"/>
        </w:rPr>
        <w:t>
      5. Түркістан қаласындағы қала құрылысын айрықша реттеу аймақтарына қаланың Бас жоспарында белгіленген аумақтар, оның ішінде қала аумағының тұрақты дамуына әсер ететін қоғамдық, қала құрылысы, экономикалық, экологиялық, рекреациялық, мәдени, тарихи және басқа да факторлар негізінде жерді, бар жылжымайтын мүлік объектілерін пайдалану бойынша аумақтар жатады.</w:t>
      </w:r>
    </w:p>
    <w:p>
      <w:pPr>
        <w:spacing w:after="0"/>
        <w:ind w:left="0"/>
        <w:jc w:val="both"/>
      </w:pPr>
      <w:r>
        <w:rPr>
          <w:rFonts w:ascii="Times New Roman"/>
          <w:b w:val="false"/>
          <w:i w:val="false"/>
          <w:color w:val="000000"/>
          <w:sz w:val="28"/>
        </w:rPr>
        <w:t xml:space="preserve">
      6. Қала құрылысын айрықша реттеу аймақтарында құрылыс салуға қойылатын шарттар: </w:t>
      </w:r>
    </w:p>
    <w:p>
      <w:pPr>
        <w:spacing w:after="0"/>
        <w:ind w:left="0"/>
        <w:jc w:val="both"/>
      </w:pPr>
      <w:r>
        <w:rPr>
          <w:rFonts w:ascii="Times New Roman"/>
          <w:b w:val="false"/>
          <w:i w:val="false"/>
          <w:color w:val="000000"/>
          <w:sz w:val="28"/>
        </w:rPr>
        <w:t>
      1) құрылыс салу тығыздығы мен коэффициенті бойынша ерекшеліктері;</w:t>
      </w:r>
    </w:p>
    <w:p>
      <w:pPr>
        <w:spacing w:after="0"/>
        <w:ind w:left="0"/>
        <w:jc w:val="both"/>
      </w:pPr>
      <w:r>
        <w:rPr>
          <w:rFonts w:ascii="Times New Roman"/>
          <w:b w:val="false"/>
          <w:i w:val="false"/>
          <w:color w:val="000000"/>
          <w:sz w:val="28"/>
        </w:rPr>
        <w:t>
      2) үйлер мен ғимараттар қасбеттерінің сәулет шешімдері;</w:t>
      </w:r>
    </w:p>
    <w:p>
      <w:pPr>
        <w:spacing w:after="0"/>
        <w:ind w:left="0"/>
        <w:jc w:val="both"/>
      </w:pPr>
      <w:r>
        <w:rPr>
          <w:rFonts w:ascii="Times New Roman"/>
          <w:b w:val="false"/>
          <w:i w:val="false"/>
          <w:color w:val="000000"/>
          <w:sz w:val="28"/>
        </w:rPr>
        <w:t>
      3) тарих және мәдени ескерткіштерінің қорғау аймағында құрылыс салу.</w:t>
      </w:r>
    </w:p>
    <w:p>
      <w:pPr>
        <w:spacing w:after="0"/>
        <w:ind w:left="0"/>
        <w:jc w:val="both"/>
      </w:pPr>
      <w:r>
        <w:rPr>
          <w:rFonts w:ascii="Times New Roman"/>
          <w:b w:val="false"/>
          <w:i w:val="false"/>
          <w:color w:val="000000"/>
          <w:sz w:val="28"/>
        </w:rPr>
        <w:t>
      7. Қала құрылысын айрықша реттеу аймақтарына келесі қала аумақтары жатады:</w:t>
      </w:r>
    </w:p>
    <w:p>
      <w:pPr>
        <w:spacing w:after="0"/>
        <w:ind w:left="0"/>
        <w:jc w:val="both"/>
      </w:pPr>
      <w:r>
        <w:rPr>
          <w:rFonts w:ascii="Times New Roman"/>
          <w:b w:val="false"/>
          <w:i w:val="false"/>
          <w:color w:val="000000"/>
          <w:sz w:val="28"/>
        </w:rPr>
        <w:t>
      1) дүниежүзілік тарих пен мәдениет үшін ерекше маңызға ие, халықаралық маңызы бар тарих және мәдениет ескерткіштері аймағы:</w:t>
      </w:r>
    </w:p>
    <w:p>
      <w:pPr>
        <w:spacing w:after="0"/>
        <w:ind w:left="0"/>
        <w:jc w:val="both"/>
      </w:pPr>
      <w:r>
        <w:rPr>
          <w:rFonts w:ascii="Times New Roman"/>
          <w:b w:val="false"/>
          <w:i w:val="false"/>
          <w:color w:val="000000"/>
          <w:sz w:val="28"/>
        </w:rPr>
        <w:t>
      Қожа Ахмет Ясауи кесенесі;</w:t>
      </w:r>
    </w:p>
    <w:p>
      <w:pPr>
        <w:spacing w:after="0"/>
        <w:ind w:left="0"/>
        <w:jc w:val="both"/>
      </w:pPr>
      <w:r>
        <w:rPr>
          <w:rFonts w:ascii="Times New Roman"/>
          <w:b w:val="false"/>
          <w:i w:val="false"/>
          <w:color w:val="000000"/>
          <w:sz w:val="28"/>
        </w:rPr>
        <w:t xml:space="preserve">
      2) Қазақстан Республикасының тарихы мен мәдениеті үшін ерекше маңызға ие, республикалық маңызы бар тарих және мәдениет ескерткіштері аймағы: </w:t>
      </w:r>
    </w:p>
    <w:p>
      <w:pPr>
        <w:spacing w:after="0"/>
        <w:ind w:left="0"/>
        <w:jc w:val="both"/>
      </w:pPr>
      <w:r>
        <w:rPr>
          <w:rFonts w:ascii="Times New Roman"/>
          <w:b w:val="false"/>
          <w:i w:val="false"/>
          <w:color w:val="000000"/>
          <w:sz w:val="28"/>
        </w:rPr>
        <w:t>
      Ежелгі Түркістан қаласы, Күлтөбе қалашығы, Қылует жерасты мешіті, Әулие Құмшық ата жерасты мешіті, Шілдехана, Тәуке хан кесенесі, Рәбия Сұлтан Бегім кесенесі, Белгісіз сағана, цитадельдің қамал қабырғасы, шығыс моншасы, Есім хан кесенесі, цитадельдің қамал қақпасы, Жұма мешіті, Гауһар ана кесенесі, Әлқожа ата кесенесі, Жәудір ана мешіт-медресесі, Шәмет Ишан мешіт-медресесі, теміржол станциясы кешені және гарнизон штабының ғимараты;</w:t>
      </w:r>
    </w:p>
    <w:p>
      <w:pPr>
        <w:spacing w:after="0"/>
        <w:ind w:left="0"/>
        <w:jc w:val="both"/>
      </w:pPr>
      <w:r>
        <w:rPr>
          <w:rFonts w:ascii="Times New Roman"/>
          <w:b w:val="false"/>
          <w:i w:val="false"/>
          <w:color w:val="000000"/>
          <w:sz w:val="28"/>
        </w:rPr>
        <w:t xml:space="preserve">
      3) Түркістан қаласының тарихы мен мәдениеті үшін ерекше маңызға ие, жергілікті маңызы бар тарих және мәдениет ескерткіштері аймағы: </w:t>
      </w:r>
    </w:p>
    <w:p>
      <w:pPr>
        <w:spacing w:after="0"/>
        <w:ind w:left="0"/>
        <w:jc w:val="both"/>
      </w:pPr>
      <w:r>
        <w:rPr>
          <w:rFonts w:ascii="Times New Roman"/>
          <w:b w:val="false"/>
          <w:i w:val="false"/>
          <w:color w:val="000000"/>
          <w:sz w:val="28"/>
        </w:rPr>
        <w:t>
      Бала би кесенесі, қалалық атқару комитетінің ғимараты, балалар спорт мектебі, дәріхана ғимараты, казарма.</w:t>
      </w:r>
    </w:p>
    <w:p>
      <w:pPr>
        <w:spacing w:after="0"/>
        <w:ind w:left="0"/>
        <w:jc w:val="both"/>
      </w:pPr>
      <w:r>
        <w:rPr>
          <w:rFonts w:ascii="Times New Roman"/>
          <w:b w:val="false"/>
          <w:i w:val="false"/>
          <w:color w:val="000000"/>
          <w:sz w:val="28"/>
        </w:rPr>
        <w:t>
      8. Мәдениет ескерткіштерінің қорғау аймақтарының шегінде барлық қала құрылысы объектілері мен олардың сипаттамалары, мәдени құндылығын сақтауға немесе қалпына келтіруге жатады.</w:t>
      </w:r>
    </w:p>
    <w:p>
      <w:pPr>
        <w:spacing w:after="0"/>
        <w:ind w:left="0"/>
        <w:jc w:val="both"/>
      </w:pPr>
      <w:r>
        <w:rPr>
          <w:rFonts w:ascii="Times New Roman"/>
          <w:b w:val="false"/>
          <w:i w:val="false"/>
          <w:color w:val="000000"/>
          <w:sz w:val="28"/>
        </w:rPr>
        <w:t>
      9. Түркістан қаласының тарихы мен мәдениеті үшін ерекше маңызға ие, жергілікті маңызы бар тарих және мәдениет ескерткіштері аймағы шегінде Заңда белгіленген тәртіппен ескерткіштерді қалпына келтіру немесе сақтау бойынша реставрациялық жұмыстарын және өзге де жұмыстарды жүргізуге, сондай-ақ тұрғын үйлерді және (немесе) олардың бірінші қабаттарын жапсаржай салмай, қасбеттік шешімдерін және абаттандырылуын сақтай отырып, кәсіпкерлік қызмет объектілері үшін қайта жабдықтауға рұқсат етіледі.</w:t>
      </w:r>
    </w:p>
    <w:p>
      <w:pPr>
        <w:spacing w:after="0"/>
        <w:ind w:left="0"/>
        <w:jc w:val="both"/>
      </w:pPr>
      <w:r>
        <w:rPr>
          <w:rFonts w:ascii="Times New Roman"/>
          <w:b w:val="false"/>
          <w:i w:val="false"/>
          <w:color w:val="000000"/>
          <w:sz w:val="28"/>
        </w:rPr>
        <w:t>
      10. Тарих және мәдениет ескерткіштерінің қорғаныш аймақтарының шегінде тарихи ғимараттардың құрылымы мен стилін, пропорциялары мен биіктігін бұзуға жол берілмейді.</w:t>
      </w:r>
    </w:p>
    <w:p>
      <w:pPr>
        <w:spacing w:after="0"/>
        <w:ind w:left="0"/>
        <w:jc w:val="both"/>
      </w:pPr>
      <w:r>
        <w:rPr>
          <w:rFonts w:ascii="Times New Roman"/>
          <w:b w:val="false"/>
          <w:i w:val="false"/>
          <w:color w:val="000000"/>
          <w:sz w:val="28"/>
        </w:rPr>
        <w:t>
      11. Республикалық маңызы бар тарих және мәдениет ескерткіштері аймағы мен жергілікті маңызы бар тарих және мәдениет ескерткіштері аймағы шегінде ең жоғары рұқсат етілген биіктіктен асуға, сол сияқты тарих және мәдениет ескерткіштерінің қорғаныш аймақтарының шегінде 20 метрге дейінгі радиуста сәулет шешім ауқымын бұзуға жол берілмейді.</w:t>
      </w:r>
    </w:p>
    <w:p>
      <w:pPr>
        <w:spacing w:after="0"/>
        <w:ind w:left="0"/>
        <w:jc w:val="both"/>
      </w:pPr>
      <w:r>
        <w:rPr>
          <w:rFonts w:ascii="Times New Roman"/>
          <w:b w:val="false"/>
          <w:i w:val="false"/>
          <w:color w:val="000000"/>
          <w:sz w:val="28"/>
        </w:rPr>
        <w:t>
      12. Аумақты тұрақты дамыту жағдайларын қамтамасыз ету, қала аумағында сапалы және жайлы ортаны қалыптастыру үшін функционалдық аймақтарға бөлінуіне, бұрыннан бар қала құрылысы жағдайына байланысты 1 гектарға халықтың ең аз және ең көп тығыздығы белгіленеді.</w:t>
      </w:r>
    </w:p>
    <w:p>
      <w:pPr>
        <w:spacing w:after="0"/>
        <w:ind w:left="0"/>
        <w:jc w:val="both"/>
      </w:pPr>
      <w:r>
        <w:rPr>
          <w:rFonts w:ascii="Times New Roman"/>
          <w:b w:val="false"/>
          <w:i w:val="false"/>
          <w:color w:val="000000"/>
          <w:sz w:val="28"/>
        </w:rPr>
        <w:t>
      13. Құрылыс салу үшін қала аумағындағы халықтың қоныстану тығыздығын жердің құнын, инженерлік және көлік коммуникацияларының ресурстық мүмкіндіктерін, әлеуметтік мақсаттағы объектілерде қадамдық қолжетімді жеткілікті орындардың болуын, тарихи-мәдени және сәулет-ландшафттық құндылықтардың болуын ескере отырып, сәулет, қала құрылысы және құрылыс саласындағы қолданыстағы мемлекеттік нормативтерге сәйкес есептеледі.</w:t>
      </w:r>
    </w:p>
    <w:p>
      <w:pPr>
        <w:spacing w:after="0"/>
        <w:ind w:left="0"/>
        <w:jc w:val="both"/>
      </w:pPr>
      <w:r>
        <w:rPr>
          <w:rFonts w:ascii="Times New Roman"/>
          <w:b w:val="false"/>
          <w:i w:val="false"/>
          <w:color w:val="000000"/>
          <w:sz w:val="28"/>
        </w:rPr>
        <w:t>
      14. Есептік аумақтың шекарасын қызыл сызықтың бойымен, құрылыс учаскелерінің шекарасымен, орам арасындағы жолдардың, жаяу жүргіншілер жолдарының осімен немесе табиғи шекаралармен белгілеу, олар болмаған жағдайда – құрылыс сызығынан 3 метр қашықтықта белгілеу талап етіледі.</w:t>
      </w:r>
    </w:p>
    <w:p>
      <w:pPr>
        <w:spacing w:after="0"/>
        <w:ind w:left="0"/>
        <w:jc w:val="both"/>
      </w:pPr>
      <w:r>
        <w:rPr>
          <w:rFonts w:ascii="Times New Roman"/>
          <w:b w:val="false"/>
          <w:i w:val="false"/>
          <w:color w:val="000000"/>
          <w:sz w:val="28"/>
        </w:rPr>
        <w:t>
      15. Қала аумағындағы жаңа құрылысты, қоныстану тығыздығын есептеу үшін тұрғын үймен орташа қамтамасыз етуді бір адамға есептегенде 18-25 шаршы метрден кем емес тұрғын ауданды қолдану.</w:t>
      </w:r>
    </w:p>
    <w:p>
      <w:pPr>
        <w:spacing w:after="0"/>
        <w:ind w:left="0"/>
        <w:jc w:val="both"/>
      </w:pPr>
      <w:r>
        <w:rPr>
          <w:rFonts w:ascii="Times New Roman"/>
          <w:b w:val="false"/>
          <w:i w:val="false"/>
          <w:color w:val="000000"/>
          <w:sz w:val="28"/>
        </w:rPr>
        <w:t>
      Келесі бір мезгілдегі жағдайлар сақталған кезде тығыздықты 20 пайызға арттыруға жол беріледі:</w:t>
      </w:r>
    </w:p>
    <w:p>
      <w:pPr>
        <w:spacing w:after="0"/>
        <w:ind w:left="0"/>
        <w:jc w:val="both"/>
      </w:pPr>
      <w:r>
        <w:rPr>
          <w:rFonts w:ascii="Times New Roman"/>
          <w:b w:val="false"/>
          <w:i w:val="false"/>
          <w:color w:val="000000"/>
          <w:sz w:val="28"/>
        </w:rPr>
        <w:t>
      1) салу және нәтижесінде пайдалануға берілген объектінің тұрақты жұмыс істеуі үшін талап етілетін жеткілікті инженерлік инфрақұрылымның болуы;</w:t>
      </w:r>
    </w:p>
    <w:p>
      <w:pPr>
        <w:spacing w:after="0"/>
        <w:ind w:left="0"/>
        <w:jc w:val="both"/>
      </w:pPr>
      <w:r>
        <w:rPr>
          <w:rFonts w:ascii="Times New Roman"/>
          <w:b w:val="false"/>
          <w:i w:val="false"/>
          <w:color w:val="000000"/>
          <w:sz w:val="28"/>
        </w:rPr>
        <w:t>
      2) көліктік қолжетімділіктің, жерасты немесе көп деңгейлі паркингтердің болуы;</w:t>
      </w:r>
    </w:p>
    <w:p>
      <w:pPr>
        <w:spacing w:after="0"/>
        <w:ind w:left="0"/>
        <w:jc w:val="both"/>
      </w:pPr>
      <w:r>
        <w:rPr>
          <w:rFonts w:ascii="Times New Roman"/>
          <w:b w:val="false"/>
          <w:i w:val="false"/>
          <w:color w:val="000000"/>
          <w:sz w:val="28"/>
        </w:rPr>
        <w:t>
      3) аумақта жапсарлас-іргелес салынған балабақшалар мен мектепке дейінгі мекемелердің болуы;</w:t>
      </w:r>
    </w:p>
    <w:p>
      <w:pPr>
        <w:spacing w:after="0"/>
        <w:ind w:left="0"/>
        <w:jc w:val="both"/>
      </w:pPr>
      <w:r>
        <w:rPr>
          <w:rFonts w:ascii="Times New Roman"/>
          <w:b w:val="false"/>
          <w:i w:val="false"/>
          <w:color w:val="000000"/>
          <w:sz w:val="28"/>
        </w:rPr>
        <w:t>
      4) нормативтік қамтамасыз ету шеңберінде қадамдық қолжетімділіктегі аумақтарда ашық жасыл аймақтардың және жер сілкінісі кезінде жиналуға арналған орындардың болуы;</w:t>
      </w:r>
    </w:p>
    <w:p>
      <w:pPr>
        <w:spacing w:after="0"/>
        <w:ind w:left="0"/>
        <w:jc w:val="both"/>
      </w:pPr>
      <w:r>
        <w:rPr>
          <w:rFonts w:ascii="Times New Roman"/>
          <w:b w:val="false"/>
          <w:i w:val="false"/>
          <w:color w:val="000000"/>
          <w:sz w:val="28"/>
        </w:rPr>
        <w:t>
      5) бастауыш және орта білім беру мектептерінде қадамдық қолжетімділіктегі орындардың жеткілікті деңгейде болуы;</w:t>
      </w:r>
    </w:p>
    <w:p>
      <w:pPr>
        <w:spacing w:after="0"/>
        <w:ind w:left="0"/>
        <w:jc w:val="both"/>
      </w:pPr>
      <w:r>
        <w:rPr>
          <w:rFonts w:ascii="Times New Roman"/>
          <w:b w:val="false"/>
          <w:i w:val="false"/>
          <w:color w:val="000000"/>
          <w:sz w:val="28"/>
        </w:rPr>
        <w:t>
      6) 500 метрден аспайтын радиуста күнделікті қызмет көрсету объектілерінің болуы;</w:t>
      </w:r>
    </w:p>
    <w:p>
      <w:pPr>
        <w:spacing w:after="0"/>
        <w:ind w:left="0"/>
        <w:jc w:val="both"/>
      </w:pPr>
      <w:r>
        <w:rPr>
          <w:rFonts w:ascii="Times New Roman"/>
          <w:b w:val="false"/>
          <w:i w:val="false"/>
          <w:color w:val="000000"/>
          <w:sz w:val="28"/>
        </w:rPr>
        <w:t>
      7) халықтың санитариялық-эпидемиологиялық салауаттылығы саласындағы нормативтік құқықтық актілердің, азаматтық қорғау саласындағы нормативтік актілердің және нормативтік техникалық құжаттардың сақталуы;</w:t>
      </w:r>
    </w:p>
    <w:p>
      <w:pPr>
        <w:spacing w:after="0"/>
        <w:ind w:left="0"/>
        <w:jc w:val="both"/>
      </w:pPr>
      <w:r>
        <w:rPr>
          <w:rFonts w:ascii="Times New Roman"/>
          <w:b w:val="false"/>
          <w:i w:val="false"/>
          <w:color w:val="000000"/>
          <w:sz w:val="28"/>
        </w:rPr>
        <w:t>
      8) бір тұрғынға 10 шаршы метрден есептелген үй маңындағы аумақтың болуы (шаруашылық және рекреациялық қажеттіліктерге арналған алаңдарды, тұрақ орындарын, абаттандыру және көгалдандыруды ескеру арқылы).</w:t>
      </w:r>
    </w:p>
    <w:p>
      <w:pPr>
        <w:spacing w:after="0"/>
        <w:ind w:left="0"/>
        <w:jc w:val="both"/>
      </w:pPr>
      <w:r>
        <w:rPr>
          <w:rFonts w:ascii="Times New Roman"/>
          <w:b w:val="false"/>
          <w:i w:val="false"/>
          <w:color w:val="000000"/>
          <w:sz w:val="28"/>
        </w:rPr>
        <w:t>
      Құрылыс салу тығыздығының коэффициентін сәулет, қала құрылысы және құрылыс саласындағы мемлекеттік нормативтерге сәйкес қабылдау қажет.</w:t>
      </w:r>
    </w:p>
    <w:p>
      <w:pPr>
        <w:spacing w:after="0"/>
        <w:ind w:left="0"/>
        <w:jc w:val="both"/>
      </w:pPr>
      <w:r>
        <w:rPr>
          <w:rFonts w:ascii="Times New Roman"/>
          <w:b w:val="false"/>
          <w:i w:val="false"/>
          <w:color w:val="000000"/>
          <w:sz w:val="28"/>
        </w:rPr>
        <w:t>
      16. Желілік типтегі көппәтерлі тұрғын үйлердің ұзын жақтарының арасындағы алшақтықтың ең аз мөлшері (тұрмыстық қашықтық):</w:t>
      </w:r>
    </w:p>
    <w:p>
      <w:pPr>
        <w:spacing w:after="0"/>
        <w:ind w:left="0"/>
        <w:jc w:val="both"/>
      </w:pPr>
      <w:r>
        <w:rPr>
          <w:rFonts w:ascii="Times New Roman"/>
          <w:b w:val="false"/>
          <w:i w:val="false"/>
          <w:color w:val="000000"/>
          <w:sz w:val="28"/>
        </w:rPr>
        <w:t>
      1) 4-5 қабатты үйлерді салу кезінде: 20 метрден кем емес;</w:t>
      </w:r>
    </w:p>
    <w:p>
      <w:pPr>
        <w:spacing w:after="0"/>
        <w:ind w:left="0"/>
        <w:jc w:val="both"/>
      </w:pPr>
      <w:r>
        <w:rPr>
          <w:rFonts w:ascii="Times New Roman"/>
          <w:b w:val="false"/>
          <w:i w:val="false"/>
          <w:color w:val="000000"/>
          <w:sz w:val="28"/>
        </w:rPr>
        <w:t>
      2) 6-12 қабатты үйлерді салу кезінде: 30 метрден кем емес;</w:t>
      </w:r>
    </w:p>
    <w:p>
      <w:pPr>
        <w:spacing w:after="0"/>
        <w:ind w:left="0"/>
        <w:jc w:val="both"/>
      </w:pPr>
      <w:r>
        <w:rPr>
          <w:rFonts w:ascii="Times New Roman"/>
          <w:b w:val="false"/>
          <w:i w:val="false"/>
          <w:color w:val="000000"/>
          <w:sz w:val="28"/>
        </w:rPr>
        <w:t>
      3) 13-16 қабатты үйлерді салу кезінде: 48 метрден кем емес;</w:t>
      </w:r>
    </w:p>
    <w:p>
      <w:pPr>
        <w:spacing w:after="0"/>
        <w:ind w:left="0"/>
        <w:jc w:val="both"/>
      </w:pPr>
      <w:r>
        <w:rPr>
          <w:rFonts w:ascii="Times New Roman"/>
          <w:b w:val="false"/>
          <w:i w:val="false"/>
          <w:color w:val="000000"/>
          <w:sz w:val="28"/>
        </w:rPr>
        <w:t>
      4) 17 және одан биік қабатты үйлерді салу кезінде: 50 метрден кем емес.</w:t>
      </w:r>
    </w:p>
    <w:p>
      <w:pPr>
        <w:spacing w:after="0"/>
        <w:ind w:left="0"/>
        <w:jc w:val="both"/>
      </w:pPr>
      <w:r>
        <w:rPr>
          <w:rFonts w:ascii="Times New Roman"/>
          <w:b w:val="false"/>
          <w:i w:val="false"/>
          <w:color w:val="000000"/>
          <w:sz w:val="28"/>
        </w:rPr>
        <w:t>
      17. Желілік типтегі көппәтерлі тұрғын үйлердің қысқа және ұзын жақтарының арасындағы алшақтықтың ең аз мөлшері (тұрмыстық қашықтық):</w:t>
      </w:r>
    </w:p>
    <w:p>
      <w:pPr>
        <w:spacing w:after="0"/>
        <w:ind w:left="0"/>
        <w:jc w:val="both"/>
      </w:pPr>
      <w:r>
        <w:rPr>
          <w:rFonts w:ascii="Times New Roman"/>
          <w:b w:val="false"/>
          <w:i w:val="false"/>
          <w:color w:val="000000"/>
          <w:sz w:val="28"/>
        </w:rPr>
        <w:t>
      1) 4-5 қабатты үйлерді салу кезінде: 12 метрден кем емес;</w:t>
      </w:r>
    </w:p>
    <w:p>
      <w:pPr>
        <w:spacing w:after="0"/>
        <w:ind w:left="0"/>
        <w:jc w:val="both"/>
      </w:pPr>
      <w:r>
        <w:rPr>
          <w:rFonts w:ascii="Times New Roman"/>
          <w:b w:val="false"/>
          <w:i w:val="false"/>
          <w:color w:val="000000"/>
          <w:sz w:val="28"/>
        </w:rPr>
        <w:t>
      2) 6-12 қабатты үйлерді салу кезінде: 15 метрден кем емес;</w:t>
      </w:r>
    </w:p>
    <w:p>
      <w:pPr>
        <w:spacing w:after="0"/>
        <w:ind w:left="0"/>
        <w:jc w:val="both"/>
      </w:pPr>
      <w:r>
        <w:rPr>
          <w:rFonts w:ascii="Times New Roman"/>
          <w:b w:val="false"/>
          <w:i w:val="false"/>
          <w:color w:val="000000"/>
          <w:sz w:val="28"/>
        </w:rPr>
        <w:t>
      3) 13-16 қабатты үйлерді салу кезінде: 24 метрден кем емес;</w:t>
      </w:r>
    </w:p>
    <w:p>
      <w:pPr>
        <w:spacing w:after="0"/>
        <w:ind w:left="0"/>
        <w:jc w:val="both"/>
      </w:pPr>
      <w:r>
        <w:rPr>
          <w:rFonts w:ascii="Times New Roman"/>
          <w:b w:val="false"/>
          <w:i w:val="false"/>
          <w:color w:val="000000"/>
          <w:sz w:val="28"/>
        </w:rPr>
        <w:t>
      4) 17 және одан биік қабатты үйлерді салу кезінде: 45 метрден кем емес.</w:t>
      </w:r>
    </w:p>
    <w:p>
      <w:pPr>
        <w:spacing w:after="0"/>
        <w:ind w:left="0"/>
        <w:jc w:val="both"/>
      </w:pPr>
      <w:r>
        <w:rPr>
          <w:rFonts w:ascii="Times New Roman"/>
          <w:b w:val="false"/>
          <w:i w:val="false"/>
          <w:color w:val="000000"/>
          <w:sz w:val="28"/>
        </w:rPr>
        <w:t>
      18. Рұқсат етілмейді:</w:t>
      </w:r>
    </w:p>
    <w:p>
      <w:pPr>
        <w:spacing w:after="0"/>
        <w:ind w:left="0"/>
        <w:jc w:val="both"/>
      </w:pPr>
      <w:r>
        <w:rPr>
          <w:rFonts w:ascii="Times New Roman"/>
          <w:b w:val="false"/>
          <w:i w:val="false"/>
          <w:color w:val="000000"/>
          <w:sz w:val="28"/>
        </w:rPr>
        <w:t xml:space="preserve">
      1) жаяу жүргіншілер көшелерінің, орамдардан эвакуациялық шығу жолдарының бойында биік ғимараттар салуға; </w:t>
      </w:r>
    </w:p>
    <w:p>
      <w:pPr>
        <w:spacing w:after="0"/>
        <w:ind w:left="0"/>
        <w:jc w:val="both"/>
      </w:pPr>
      <w:r>
        <w:rPr>
          <w:rFonts w:ascii="Times New Roman"/>
          <w:b w:val="false"/>
          <w:i w:val="false"/>
          <w:color w:val="000000"/>
          <w:sz w:val="28"/>
        </w:rPr>
        <w:t xml:space="preserve">
      2) мектепке дейінгі білім беру ұйымдары мен жалпы білім беретін ұйымдарды биік ғимараттарға біріктіріп салынған биіктігі 12 қабаттан асатын үй-жайларда, сондай-ақ жерасты және жапсарлас салынған автомобиль тұрақтарының үстіне орналастыруға; </w:t>
      </w:r>
    </w:p>
    <w:p>
      <w:pPr>
        <w:spacing w:after="0"/>
        <w:ind w:left="0"/>
        <w:jc w:val="both"/>
      </w:pPr>
      <w:r>
        <w:rPr>
          <w:rFonts w:ascii="Times New Roman"/>
          <w:b w:val="false"/>
          <w:i w:val="false"/>
          <w:color w:val="000000"/>
          <w:sz w:val="28"/>
        </w:rPr>
        <w:t>
      3) 3 қабатқа дейінгі тұрғын немесе қоғамдық ғимараттардың арасындағы алшақтықтың ең аз мөлшері (жер деңгейінің белгісінен шатырдың жотасына дейін биіктігі бойынша 12 метрден аспайды, инсоляция нормаларына және рұқсат етілген өртке қарсы алшақтықпен айқындалады).</w:t>
      </w:r>
    </w:p>
    <w:p>
      <w:pPr>
        <w:spacing w:after="0"/>
        <w:ind w:left="0"/>
        <w:jc w:val="both"/>
      </w:pPr>
      <w:r>
        <w:rPr>
          <w:rFonts w:ascii="Times New Roman"/>
          <w:b w:val="false"/>
          <w:i w:val="false"/>
          <w:color w:val="000000"/>
          <w:sz w:val="28"/>
        </w:rPr>
        <w:t>
      19. Мұнара түріндегі ғимараттарды орналастыру кезінде қашықтықты барлық тұрғын үй-жайлардың инсоляциясын қамтамасыз ету нормаларын ескере отырып қабылдау, бірақ бірінші қабаттардың көлемі бойынша біріктірілген бір сызыққа орналастырған жағдайда 23 метрден кем болмауы тиіс.</w:t>
      </w:r>
    </w:p>
    <w:p>
      <w:pPr>
        <w:spacing w:after="0"/>
        <w:ind w:left="0"/>
        <w:jc w:val="both"/>
      </w:pPr>
      <w:r>
        <w:rPr>
          <w:rFonts w:ascii="Times New Roman"/>
          <w:b w:val="false"/>
          <w:i w:val="false"/>
          <w:color w:val="000000"/>
          <w:sz w:val="28"/>
        </w:rPr>
        <w:t xml:space="preserve">
      20. Қала құрылысын айрықша реттеу аймақтарының шегінен тыс қала аумағында тұрғын және тұрғын емес ғимараттарды жобалауды және салуды жүзеге асыру барысында келесі шарттарды ескеру қажет: </w:t>
      </w:r>
    </w:p>
    <w:p>
      <w:pPr>
        <w:spacing w:after="0"/>
        <w:ind w:left="0"/>
        <w:jc w:val="both"/>
      </w:pPr>
      <w:r>
        <w:rPr>
          <w:rFonts w:ascii="Times New Roman"/>
          <w:b w:val="false"/>
          <w:i w:val="false"/>
          <w:color w:val="000000"/>
          <w:sz w:val="28"/>
        </w:rPr>
        <w:t>
      1) тұрғын және тұрғын емес мақсаттағы ғимараттарды қаланың негізгі көшелерінің қызыл сызықтарынан кемінде 6 метр, жергілікті маңызы бар жолдардан кемінде 3 метр қашықтықта орналастыру қажет;</w:t>
      </w:r>
    </w:p>
    <w:p>
      <w:pPr>
        <w:spacing w:after="0"/>
        <w:ind w:left="0"/>
        <w:jc w:val="both"/>
      </w:pPr>
      <w:r>
        <w:rPr>
          <w:rFonts w:ascii="Times New Roman"/>
          <w:b w:val="false"/>
          <w:i w:val="false"/>
          <w:color w:val="000000"/>
          <w:sz w:val="28"/>
        </w:rPr>
        <w:t>
      2) тұрғындардың болжамды қоныстану тығыздығын ескере отырып, аумақтың қадамдық қолжетімділіктегі мектепке дейінгі балалар мекемелерінің құрылысымен қамтамасыз етілуі (мектепке дейінгі жастағы мектепке дейінгі мекемелердегі орындар мың адамға есептегенде 100 орыннан кем емес);</w:t>
      </w:r>
    </w:p>
    <w:p>
      <w:pPr>
        <w:spacing w:after="0"/>
        <w:ind w:left="0"/>
        <w:jc w:val="both"/>
      </w:pPr>
      <w:r>
        <w:rPr>
          <w:rFonts w:ascii="Times New Roman"/>
          <w:b w:val="false"/>
          <w:i w:val="false"/>
          <w:color w:val="000000"/>
          <w:sz w:val="28"/>
        </w:rPr>
        <w:t>
      3) тұрғындардың болжамды қоныстану тығыздығын ескере отырып, қадамдық қолжетімділіктегі жалпы білім беретін мекемелермен қамтамасыз етілуі (мың адамға 180 орыннан кем емес);</w:t>
      </w:r>
    </w:p>
    <w:p>
      <w:pPr>
        <w:spacing w:after="0"/>
        <w:ind w:left="0"/>
        <w:jc w:val="both"/>
      </w:pPr>
      <w:r>
        <w:rPr>
          <w:rFonts w:ascii="Times New Roman"/>
          <w:b w:val="false"/>
          <w:i w:val="false"/>
          <w:color w:val="000000"/>
          <w:sz w:val="28"/>
        </w:rPr>
        <w:t>
      4) амбулаториялық-емханалық мекемелермен қамтамасыз етілуі;</w:t>
      </w:r>
    </w:p>
    <w:p>
      <w:pPr>
        <w:spacing w:after="0"/>
        <w:ind w:left="0"/>
        <w:jc w:val="both"/>
      </w:pPr>
      <w:r>
        <w:rPr>
          <w:rFonts w:ascii="Times New Roman"/>
          <w:b w:val="false"/>
          <w:i w:val="false"/>
          <w:color w:val="000000"/>
          <w:sz w:val="28"/>
        </w:rPr>
        <w:t>
      5) учаскелік полиция пунктінің болуы (3 мың адамға 1 учаскелік инспектор есебінен, учаскелік полиция пунктіне арналған ең аз ауданы 45 шаршы метрден кем болмауы тиіс).</w:t>
      </w:r>
    </w:p>
    <w:p>
      <w:pPr>
        <w:spacing w:after="0"/>
        <w:ind w:left="0"/>
        <w:jc w:val="both"/>
      </w:pPr>
      <w:r>
        <w:rPr>
          <w:rFonts w:ascii="Times New Roman"/>
          <w:b w:val="false"/>
          <w:i w:val="false"/>
          <w:color w:val="000000"/>
          <w:sz w:val="28"/>
        </w:rPr>
        <w:t>
      21. Қала аумағындағы ғимараттар мен құрылыстардың қасбеттері қала сапасының және қоршаған қала құрылысы ортасының айрықша эстетикалық сипаттамаларын (стильдік және композициялық тұтастығын, ырғағын, өлшемдер сәйкестігі мен тепе-теңдігін, сырттай қабылдануын, ашық және жабық кеңістіктердің тепе-теңдігін) көрсетуі, жобалық құжаттамада қарастырылған сәулет-қала құрылысы келбетіне және (немесе) келісілген кескіндік жобаға сәйкес келуі тиіс.</w:t>
      </w:r>
    </w:p>
    <w:p>
      <w:pPr>
        <w:spacing w:after="0"/>
        <w:ind w:left="0"/>
        <w:jc w:val="both"/>
      </w:pPr>
      <w:r>
        <w:rPr>
          <w:rFonts w:ascii="Times New Roman"/>
          <w:b w:val="false"/>
          <w:i w:val="false"/>
          <w:color w:val="000000"/>
          <w:sz w:val="28"/>
        </w:rPr>
        <w:t xml:space="preserve">
      22. Қасбеттегі терезелер мен витриналардың орналасуы, олардың көлемдері, құрылғының сипаты мен сыртқы түрі түстік шешімін қоса алғанда, ғимараттың техникалық құжаттамасына, ғимараттың жобасында қарастырылған ғимараттың көлденең және тік осьтері жүйесіне, симметриясына, биіктігі бойынша тұрақтылығына, ырғағына, көлемдік-кеңістіктегі шешіміне сәйкес келуі тиіс. </w:t>
      </w:r>
    </w:p>
    <w:p>
      <w:pPr>
        <w:spacing w:after="0"/>
        <w:ind w:left="0"/>
        <w:jc w:val="both"/>
      </w:pPr>
      <w:r>
        <w:rPr>
          <w:rFonts w:ascii="Times New Roman"/>
          <w:b w:val="false"/>
          <w:i w:val="false"/>
          <w:color w:val="000000"/>
          <w:sz w:val="28"/>
        </w:rPr>
        <w:t xml:space="preserve">
      23. Кіру топтарын (кіреберістерді) орнату және жабдықтау ғимарат қасбетінің сыртқы түріне және сәулет-жоспарлаудың түпкі ойына, жаяу жүргіншілер мен көлік қозғалысының қолайлылығы мен қауіпсіздігіне зиян келтірмеу арқылы конструкциялардың сенімділігін, қауіпсіздігін қамтамасыз етуді ескере отырып, келісілген және бекітілген жобалау құжаттамасына сәйкес жүзеге асырылады. </w:t>
      </w:r>
    </w:p>
    <w:p>
      <w:pPr>
        <w:spacing w:after="0"/>
        <w:ind w:left="0"/>
        <w:jc w:val="both"/>
      </w:pPr>
      <w:r>
        <w:rPr>
          <w:rFonts w:ascii="Times New Roman"/>
          <w:b w:val="false"/>
          <w:i w:val="false"/>
          <w:color w:val="000000"/>
          <w:sz w:val="28"/>
        </w:rPr>
        <w:t>
      24. Ғимараттардың сыртқы сәулет келбетін сақтау мақсатында, сәндік-көркемдік элементтердің сырттай қабылдану қолжетімділігі мен қасбеттерге келетін материалдық зиянды барынша азайту үшін кіру топтары (кіреберістер) жобаға сәйкес аспалы немесе тірек тіреуіштеріне орнатылған соққыға төзімді беріктігі жоғары шыныдан жасалған жеңіл үлгідегі мөлдір қауіпсіз қалқалармен жабдықталады.</w:t>
      </w:r>
    </w:p>
    <w:p>
      <w:pPr>
        <w:spacing w:after="0"/>
        <w:ind w:left="0"/>
        <w:jc w:val="both"/>
      </w:pPr>
      <w:r>
        <w:rPr>
          <w:rFonts w:ascii="Times New Roman"/>
          <w:b w:val="false"/>
          <w:i w:val="false"/>
          <w:color w:val="000000"/>
          <w:sz w:val="28"/>
        </w:rPr>
        <w:t>
      25. Лоджиялар мен балкондардың ғимараттардың қасбеттерінде орналасуы, оларды орналастыру сипаты мен сыртқы түрі жобалау құжаттамасында қарастырылған қасбеттің сәулет шешіміне немесе қасбеттің сәулет паспортына сәйкес келуі тиіс.</w:t>
      </w:r>
    </w:p>
    <w:p>
      <w:pPr>
        <w:spacing w:after="0"/>
        <w:ind w:left="0"/>
        <w:jc w:val="both"/>
      </w:pPr>
      <w:r>
        <w:rPr>
          <w:rFonts w:ascii="Times New Roman"/>
          <w:b w:val="false"/>
          <w:i w:val="false"/>
          <w:color w:val="000000"/>
          <w:sz w:val="28"/>
        </w:rPr>
        <w:t xml:space="preserve">
      26. Балкондар, лоджиялар, эркерлер ғимараттың бүкіл биіктігі бойынша біркелкі болуға (балконның, лоджиялардың, эркердің ғимараттағы қабаты мен орналасуына қарамастан) және ғимаратты немесе құрылысты салу кезінде қолданылатын жобалау құжаттамасына сәйкес болуы тиіс. </w:t>
      </w:r>
    </w:p>
    <w:p>
      <w:pPr>
        <w:spacing w:after="0"/>
        <w:ind w:left="0"/>
        <w:jc w:val="both"/>
      </w:pPr>
      <w:r>
        <w:rPr>
          <w:rFonts w:ascii="Times New Roman"/>
          <w:b w:val="false"/>
          <w:i w:val="false"/>
          <w:color w:val="000000"/>
          <w:sz w:val="28"/>
        </w:rPr>
        <w:t>
      27. Балкондар мен лоджиялардың түстік шешімі ғимараттың жобалау құжаттамасына немесе қасбеттің сәулет паспортына сәйкес қасбеттің сәулет шешімінің ерекшеліктеріне сәйкес келуі тиіс.</w:t>
      </w:r>
    </w:p>
    <w:p>
      <w:pPr>
        <w:spacing w:after="0"/>
        <w:ind w:left="0"/>
        <w:jc w:val="both"/>
      </w:pPr>
      <w:r>
        <w:rPr>
          <w:rFonts w:ascii="Times New Roman"/>
          <w:b w:val="false"/>
          <w:i w:val="false"/>
          <w:color w:val="000000"/>
          <w:sz w:val="28"/>
        </w:rPr>
        <w:t>
      28. Техникалық жабдықты орналастыру бекіткіштің сәулет беткі қабатпен барынша аз жанасуын, тиімді орнату және оның технологиялылығын, бекітудің стандарт конструкцияларын пайдалана отырып, жабдықты орналастырудың кешенді шешімін ескеріп, қасбет сәулетінің сыртқы түрі мен техникалық жай-күйіне зиян келтірмей жүргізілуі тиіс.</w:t>
      </w:r>
    </w:p>
    <w:p>
      <w:pPr>
        <w:spacing w:after="0"/>
        <w:ind w:left="0"/>
        <w:jc w:val="both"/>
      </w:pPr>
      <w:r>
        <w:rPr>
          <w:rFonts w:ascii="Times New Roman"/>
          <w:b w:val="false"/>
          <w:i w:val="false"/>
          <w:color w:val="000000"/>
          <w:sz w:val="28"/>
        </w:rPr>
        <w:t>
      29. Инженерлік жабдықты пайдалану қасбеттің сыртқы түріне және техникалық жағдайына зиян келтірмеуі, айналасындағыларға қолайсыздық туғызбауы тиіс.</w:t>
      </w:r>
    </w:p>
    <w:p>
      <w:pPr>
        <w:spacing w:after="0"/>
        <w:ind w:left="0"/>
        <w:jc w:val="both"/>
      </w:pPr>
      <w:r>
        <w:rPr>
          <w:rFonts w:ascii="Times New Roman"/>
          <w:b w:val="false"/>
          <w:i w:val="false"/>
          <w:color w:val="000000"/>
          <w:sz w:val="28"/>
        </w:rPr>
        <w:t>
      30. Көп қабатты тұрғын үй және қоғамдық ғимараттардың қасбетіне спутниктік антенна орналастыру рұқсат етілмейді.</w:t>
      </w:r>
    </w:p>
    <w:p>
      <w:pPr>
        <w:spacing w:after="0"/>
        <w:ind w:left="0"/>
        <w:jc w:val="both"/>
      </w:pPr>
      <w:r>
        <w:rPr>
          <w:rFonts w:ascii="Times New Roman"/>
          <w:b w:val="false"/>
          <w:i w:val="false"/>
          <w:color w:val="000000"/>
          <w:sz w:val="28"/>
        </w:rPr>
        <w:t>
      31. Жарнама нысанын коммерциялық нысандардың маңдайша орнын есептемегенде, ғимараттың қасбетіне орналастыруға жол берілмейді.</w:t>
      </w:r>
    </w:p>
    <w:p>
      <w:pPr>
        <w:spacing w:after="0"/>
        <w:ind w:left="0"/>
        <w:jc w:val="both"/>
      </w:pPr>
      <w:r>
        <w:rPr>
          <w:rFonts w:ascii="Times New Roman"/>
          <w:b w:val="false"/>
          <w:i w:val="false"/>
          <w:color w:val="000000"/>
          <w:sz w:val="28"/>
        </w:rPr>
        <w:t xml:space="preserve">
      32. Көп қабатты тұрғын үй және қоғамдық ғимараттардың қасбетіне кондицонер арнайы себетке (контейнер) орнатылуы тиіс. </w:t>
      </w:r>
    </w:p>
    <w:p>
      <w:pPr>
        <w:spacing w:after="0"/>
        <w:ind w:left="0"/>
        <w:jc w:val="both"/>
      </w:pPr>
      <w:r>
        <w:rPr>
          <w:rFonts w:ascii="Times New Roman"/>
          <w:b w:val="false"/>
          <w:i w:val="false"/>
          <w:color w:val="000000"/>
          <w:sz w:val="28"/>
        </w:rPr>
        <w:t>
      33. Сәулет келбетті қалыптастыру және қала құрылысын жоспарлау барысында:</w:t>
      </w:r>
    </w:p>
    <w:p>
      <w:pPr>
        <w:spacing w:after="0"/>
        <w:ind w:left="0"/>
        <w:jc w:val="both"/>
      </w:pPr>
      <w:r>
        <w:rPr>
          <w:rFonts w:ascii="Times New Roman"/>
          <w:b w:val="false"/>
          <w:i w:val="false"/>
          <w:color w:val="000000"/>
          <w:sz w:val="28"/>
        </w:rPr>
        <w:t xml:space="preserve">
      1) тұрғын ғимараттардан кемінде 10 метр қашықтықта тұрақ орындарын; </w:t>
      </w:r>
    </w:p>
    <w:p>
      <w:pPr>
        <w:spacing w:after="0"/>
        <w:ind w:left="0"/>
        <w:jc w:val="both"/>
      </w:pPr>
      <w:r>
        <w:rPr>
          <w:rFonts w:ascii="Times New Roman"/>
          <w:b w:val="false"/>
          <w:i w:val="false"/>
          <w:color w:val="000000"/>
          <w:sz w:val="28"/>
        </w:rPr>
        <w:t>
      2) сәулет келбетке (Дизайн кодқа) сәйкес бірыңғай стильде жасалған сәулет шағын пішіндерді ұйымдастыру (халықтың қозғалысы шектеулі топтарына арналған жабдықтар, орындықтар, қоқыс салғыштар, гүл құмыралары, балалардың ойын кешендері);</w:t>
      </w:r>
    </w:p>
    <w:p>
      <w:pPr>
        <w:spacing w:after="0"/>
        <w:ind w:left="0"/>
        <w:jc w:val="both"/>
      </w:pPr>
      <w:r>
        <w:rPr>
          <w:rFonts w:ascii="Times New Roman"/>
          <w:b w:val="false"/>
          <w:i w:val="false"/>
          <w:color w:val="000000"/>
          <w:sz w:val="28"/>
        </w:rPr>
        <w:t xml:space="preserve">
      3) халықтың қозғалысы шектеулі топтары үшін кедергісіз жаяу жүргіншілер ортасын ұйымдастыру (пандустар, тактильді тақтайшалар); </w:t>
      </w:r>
    </w:p>
    <w:p>
      <w:pPr>
        <w:spacing w:after="0"/>
        <w:ind w:left="0"/>
        <w:jc w:val="both"/>
      </w:pPr>
      <w:r>
        <w:rPr>
          <w:rFonts w:ascii="Times New Roman"/>
          <w:b w:val="false"/>
          <w:i w:val="false"/>
          <w:color w:val="000000"/>
          <w:sz w:val="28"/>
        </w:rPr>
        <w:t>
      4) мақсатына қарай аула аумағының жабындысын пайдалану (асфальт жабыны, тақтайша жабыны, балалар немесе спорт алаңының резеңке жабыны);</w:t>
      </w:r>
    </w:p>
    <w:p>
      <w:pPr>
        <w:spacing w:after="0"/>
        <w:ind w:left="0"/>
        <w:jc w:val="both"/>
      </w:pPr>
      <w:r>
        <w:rPr>
          <w:rFonts w:ascii="Times New Roman"/>
          <w:b w:val="false"/>
          <w:i w:val="false"/>
          <w:color w:val="000000"/>
          <w:sz w:val="28"/>
        </w:rPr>
        <w:t>
      5) аумақтың қауіпсіздігі мен жайлылығының жоғары деңгейін қамтамасыз ету (аулаларды жеткілікті көлемде жарықтандыруды ұйымдастыру);</w:t>
      </w:r>
    </w:p>
    <w:p>
      <w:pPr>
        <w:spacing w:after="0"/>
        <w:ind w:left="0"/>
        <w:jc w:val="both"/>
      </w:pPr>
      <w:r>
        <w:rPr>
          <w:rFonts w:ascii="Times New Roman"/>
          <w:b w:val="false"/>
          <w:i w:val="false"/>
          <w:color w:val="000000"/>
          <w:sz w:val="28"/>
        </w:rPr>
        <w:t xml:space="preserve">
      6) демалыс аймақтары мен шаруашылық аймақтарын ұйымдастыру қажет. </w:t>
      </w:r>
    </w:p>
    <w:p>
      <w:pPr>
        <w:spacing w:after="0"/>
        <w:ind w:left="0"/>
        <w:jc w:val="both"/>
      </w:pPr>
      <w:r>
        <w:rPr>
          <w:rFonts w:ascii="Times New Roman"/>
          <w:b w:val="false"/>
          <w:i w:val="false"/>
          <w:color w:val="000000"/>
          <w:sz w:val="28"/>
        </w:rPr>
        <w:t xml:space="preserve">
      34. Сәулет жарықтандыруға: </w:t>
      </w:r>
    </w:p>
    <w:p>
      <w:pPr>
        <w:spacing w:after="0"/>
        <w:ind w:left="0"/>
        <w:jc w:val="both"/>
      </w:pPr>
      <w:r>
        <w:rPr>
          <w:rFonts w:ascii="Times New Roman"/>
          <w:b w:val="false"/>
          <w:i w:val="false"/>
          <w:color w:val="000000"/>
          <w:sz w:val="28"/>
        </w:rPr>
        <w:t xml:space="preserve">
      1) ерекше тарихи және сәулет маңыздылығы бар объектілер: тарих, сәулет ескерткіштері, монументтер, субұрқақтар және қорғаныш аймақтарының режимін ескере отырып, қалпына келтірілгендерді қоса алғанда, бақ-саябақ өнерінің объектілері; </w:t>
      </w:r>
    </w:p>
    <w:p>
      <w:pPr>
        <w:spacing w:after="0"/>
        <w:ind w:left="0"/>
        <w:jc w:val="both"/>
      </w:pPr>
      <w:r>
        <w:rPr>
          <w:rFonts w:ascii="Times New Roman"/>
          <w:b w:val="false"/>
          <w:i w:val="false"/>
          <w:color w:val="000000"/>
          <w:sz w:val="28"/>
        </w:rPr>
        <w:t>
      2) ерекше қоғамдық маңызы бар объектілер: қалалық функцияларды және қаланың әкімшілік орталықтарының функцияларын жүзеге асыруға арналған ғимараттар;</w:t>
      </w:r>
    </w:p>
    <w:p>
      <w:pPr>
        <w:spacing w:after="0"/>
        <w:ind w:left="0"/>
        <w:jc w:val="both"/>
      </w:pPr>
      <w:r>
        <w:rPr>
          <w:rFonts w:ascii="Times New Roman"/>
          <w:b w:val="false"/>
          <w:i w:val="false"/>
          <w:color w:val="000000"/>
          <w:sz w:val="28"/>
        </w:rPr>
        <w:t xml:space="preserve">
      3) ғибадат объектілері, мәдени орталықтар, театрлар, кинотеатрлар, концерт залдары, музейлер мен көрме орталықтары, вокзалдар, әуежай, жерасты және жерүсті өткелдері, спорт және қонақүй кешендері; </w:t>
      </w:r>
    </w:p>
    <w:p>
      <w:pPr>
        <w:spacing w:after="0"/>
        <w:ind w:left="0"/>
        <w:jc w:val="both"/>
      </w:pPr>
      <w:r>
        <w:rPr>
          <w:rFonts w:ascii="Times New Roman"/>
          <w:b w:val="false"/>
          <w:i w:val="false"/>
          <w:color w:val="000000"/>
          <w:sz w:val="28"/>
        </w:rPr>
        <w:t xml:space="preserve">
      4) биік ғимараттар, теледидар және радио мұнаралары, жаяу жүргіншілер мен автомобиль көпірлері; </w:t>
      </w:r>
    </w:p>
    <w:p>
      <w:pPr>
        <w:spacing w:after="0"/>
        <w:ind w:left="0"/>
        <w:jc w:val="both"/>
      </w:pPr>
      <w:r>
        <w:rPr>
          <w:rFonts w:ascii="Times New Roman"/>
          <w:b w:val="false"/>
          <w:i w:val="false"/>
          <w:color w:val="000000"/>
          <w:sz w:val="28"/>
        </w:rPr>
        <w:t>
      5) ерекше маңызы бар объектілер: алаңдардың жоспарлы осьтерінде, радиалды және айналма магистральдар мен қала өзендері жағалауларының, магистральдардың, жағалаулар мен бульварлардың осьтері мен иілімдерінде, олардың қиылыстарында орналасқан қоғамдық және тұрғын үй ғимараттары; негізгі автомагистральдардың бойында орналасқан өндірістік ғимараттар, инженерлік құрылыстар (құбырлар, құрылыс крандары, биік мачталы жарық беру қондырғылары) жатады.</w:t>
      </w:r>
    </w:p>
    <w:p>
      <w:pPr>
        <w:spacing w:after="0"/>
        <w:ind w:left="0"/>
        <w:jc w:val="both"/>
      </w:pPr>
      <w:r>
        <w:rPr>
          <w:rFonts w:ascii="Times New Roman"/>
          <w:b w:val="false"/>
          <w:i w:val="false"/>
          <w:color w:val="000000"/>
          <w:sz w:val="28"/>
        </w:rPr>
        <w:t xml:space="preserve">
      35. Инженерлік желілер мен құрылыстарды жобалау, құрылысын салу одан әрі желілерді қаланың тиісті қызметтерінің балансына беру арқылы жүзеге асырылады. </w:t>
      </w:r>
    </w:p>
    <w:p>
      <w:pPr>
        <w:spacing w:after="0"/>
        <w:ind w:left="0"/>
        <w:jc w:val="both"/>
      </w:pPr>
      <w:r>
        <w:rPr>
          <w:rFonts w:ascii="Times New Roman"/>
          <w:b w:val="false"/>
          <w:i w:val="false"/>
          <w:color w:val="000000"/>
          <w:sz w:val="28"/>
        </w:rPr>
        <w:t>
      Коммуникациялық тоннелдердің, каналдардың құрылысын ашық тәсілмен төсеуге жол беріледі.</w:t>
      </w:r>
    </w:p>
    <w:p>
      <w:pPr>
        <w:spacing w:after="0"/>
        <w:ind w:left="0"/>
        <w:jc w:val="both"/>
      </w:pPr>
      <w:r>
        <w:rPr>
          <w:rFonts w:ascii="Times New Roman"/>
          <w:b w:val="false"/>
          <w:i w:val="false"/>
          <w:color w:val="000000"/>
          <w:sz w:val="28"/>
        </w:rPr>
        <w:t xml:space="preserve">
      36. Инженерлік желілерді жобалау инженерлік дәліздер аймақтарының шегінде жүзеге асырылады. </w:t>
      </w:r>
    </w:p>
    <w:p>
      <w:pPr>
        <w:spacing w:after="0"/>
        <w:ind w:left="0"/>
        <w:jc w:val="both"/>
      </w:pPr>
      <w:r>
        <w:rPr>
          <w:rFonts w:ascii="Times New Roman"/>
          <w:b w:val="false"/>
          <w:i w:val="false"/>
          <w:color w:val="000000"/>
          <w:sz w:val="28"/>
        </w:rPr>
        <w:t xml:space="preserve">
      37. Инженерлік желілер мен автомобиль жолдарын жобалау мен салуды қаланың қала құрылысы құжаттамасында (Бас жоспарда, егжей-тегжейлі жоспарлау жобаларында және (немесе) құрылыс салу жобаларында) бекітілетін көшелердің қызыл сызықтары шегінде, қажет болған жағдайда тар, тротуарлар мен веложолдарды қоса алғанда, көшелер мен жолдардың көлденең пішінінің параметрлерін негіздей отырып, есептік жылдамдықпен қозғалыс қауіпсіздігін қамтамасыз ететін іс-шараларды әзірлеп, қолданыстағы қозғалыс жылдамдығына және есептелген автомобильдің өлшемдеріне байланысты есептеу арқылы жүзеге асыру қажет. </w:t>
      </w:r>
    </w:p>
    <w:p>
      <w:pPr>
        <w:spacing w:after="0"/>
        <w:ind w:left="0"/>
        <w:jc w:val="both"/>
      </w:pPr>
      <w:r>
        <w:rPr>
          <w:rFonts w:ascii="Times New Roman"/>
          <w:b w:val="false"/>
          <w:i w:val="false"/>
          <w:color w:val="000000"/>
          <w:sz w:val="28"/>
        </w:rPr>
        <w:t xml:space="preserve">
      38. Қала көшелері мен орамішілік аумақтардың жол төсемдерін салу, реконструкциялау және жөндеуді Қазақстан Республикасының қолданыстағы нормативтік құжаттарының талаптарына сәйкес жүргізу қажет. </w:t>
      </w:r>
    </w:p>
    <w:p>
      <w:pPr>
        <w:spacing w:after="0"/>
        <w:ind w:left="0"/>
        <w:jc w:val="both"/>
      </w:pPr>
      <w:r>
        <w:rPr>
          <w:rFonts w:ascii="Times New Roman"/>
          <w:b w:val="false"/>
          <w:i w:val="false"/>
          <w:color w:val="000000"/>
          <w:sz w:val="28"/>
        </w:rPr>
        <w:t>
      39. Жол қозғалысын ұйымдастыру жобаларын әзірлеу кезінде жолдарды салу, қайта жаңарту және жөндеу, сондай-ақ қаланың көше-жол желісін күтіп-ұстау және пайдалану кезінде:</w:t>
      </w:r>
    </w:p>
    <w:p>
      <w:pPr>
        <w:spacing w:after="0"/>
        <w:ind w:left="0"/>
        <w:jc w:val="both"/>
      </w:pPr>
      <w:r>
        <w:rPr>
          <w:rFonts w:ascii="Times New Roman"/>
          <w:b w:val="false"/>
          <w:i w:val="false"/>
          <w:color w:val="000000"/>
          <w:sz w:val="28"/>
        </w:rPr>
        <w:t xml:space="preserve">
      1) көлік қозғалысы қарқынды көшелер мен жолдарда, екі бағытта да екіден көп жолақ бар жолдарда, көлік жолайрықтарында, қоғамдық көлік үшін жолақтар бөлінген көшелерде ұзақ уақыт қолданылатын таңбалау материалдарын (суық жағылатын екі компонентті пластик) қолдану. Белгілер салудың бойлық сызықтарының енін – 0,15 метр мөлшерінде қарастыру; </w:t>
      </w:r>
    </w:p>
    <w:p>
      <w:pPr>
        <w:spacing w:after="0"/>
        <w:ind w:left="0"/>
        <w:jc w:val="both"/>
      </w:pPr>
      <w:r>
        <w:rPr>
          <w:rFonts w:ascii="Times New Roman"/>
          <w:b w:val="false"/>
          <w:i w:val="false"/>
          <w:color w:val="000000"/>
          <w:sz w:val="28"/>
        </w:rPr>
        <w:t xml:space="preserve">
      2) қаланың қалған көшелерінде қозғалыс жолақтарының саны екі бағытта да екі және одан да аз болған жағдайда, жолдарды белгілеу үшін материалдарды есептеу нәтижелеріне сәйкес таңдау қажет. Белгілер салудың бойлық сызықтарының енін – 0,12 метр мөлшерінде қарастыру. </w:t>
      </w:r>
    </w:p>
    <w:p>
      <w:pPr>
        <w:spacing w:after="0"/>
        <w:ind w:left="0"/>
        <w:jc w:val="both"/>
      </w:pPr>
      <w:r>
        <w:rPr>
          <w:rFonts w:ascii="Times New Roman"/>
          <w:b w:val="false"/>
          <w:i w:val="false"/>
          <w:color w:val="000000"/>
          <w:sz w:val="28"/>
        </w:rPr>
        <w:t>
      40. Жылу беру маусымы кезеңінде құрылыс жобалары бойынша инженерлік желілердің құрылыс – монтаждау жұмыстарын:</w:t>
      </w:r>
    </w:p>
    <w:p>
      <w:pPr>
        <w:spacing w:after="0"/>
        <w:ind w:left="0"/>
        <w:jc w:val="both"/>
      </w:pPr>
      <w:r>
        <w:rPr>
          <w:rFonts w:ascii="Times New Roman"/>
          <w:b w:val="false"/>
          <w:i w:val="false"/>
          <w:color w:val="000000"/>
          <w:sz w:val="28"/>
        </w:rPr>
        <w:t>
      1) жолдарды қайта жаңарту және күрделі жөндеу;</w:t>
      </w:r>
    </w:p>
    <w:p>
      <w:pPr>
        <w:spacing w:after="0"/>
        <w:ind w:left="0"/>
        <w:jc w:val="both"/>
      </w:pPr>
      <w:r>
        <w:rPr>
          <w:rFonts w:ascii="Times New Roman"/>
          <w:b w:val="false"/>
          <w:i w:val="false"/>
          <w:color w:val="000000"/>
          <w:sz w:val="28"/>
        </w:rPr>
        <w:t>
      2) жерасты инженерлік коммуникациялар;</w:t>
      </w:r>
    </w:p>
    <w:p>
      <w:pPr>
        <w:spacing w:after="0"/>
        <w:ind w:left="0"/>
        <w:jc w:val="both"/>
      </w:pPr>
      <w:r>
        <w:rPr>
          <w:rFonts w:ascii="Times New Roman"/>
          <w:b w:val="false"/>
          <w:i w:val="false"/>
          <w:color w:val="000000"/>
          <w:sz w:val="28"/>
        </w:rPr>
        <w:t>
      3) жарықтандыру және электр беру желілері және қала көшелерінің қызыл сызықтары шегінде жерді қазумен немесе жол жабындарын ашумен байланысты басқа да жұмыстарды жүргізуге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