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7fdb" w14:textId="1dc7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14 қазандағы № 367-VI ҚРЗ.</w:t>
      </w:r>
    </w:p>
    <w:p>
      <w:pPr>
        <w:spacing w:after="0"/>
        <w:ind w:left="0"/>
        <w:jc w:val="both"/>
      </w:pPr>
      <w:bookmarkStart w:name="z1" w:id="0"/>
      <w:r>
        <w:rPr>
          <w:rFonts w:ascii="Times New Roman"/>
          <w:b w:val="false"/>
          <w:i w:val="false"/>
          <w:color w:val="000000"/>
          <w:sz w:val="28"/>
        </w:rPr>
        <w:t xml:space="preserve">
      2012 жылғы 3 мамырда Люксембургте қол қойылған </w:t>
      </w:r>
      <w:r>
        <w:rPr>
          <w:rFonts w:ascii="Times New Roman"/>
          <w:b w:val="false"/>
          <w:i w:val="false"/>
          <w:color w:val="000000"/>
          <w:sz w:val="28"/>
        </w:rPr>
        <w:t>Хаттамамен</w:t>
      </w:r>
      <w:r>
        <w:rPr>
          <w:rFonts w:ascii="Times New Roman"/>
          <w:b w:val="false"/>
          <w:i w:val="false"/>
          <w:color w:val="000000"/>
          <w:sz w:val="28"/>
        </w:rPr>
        <w:t xml:space="preserve">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2019 жылғы 14 қазанда Нұр-Сұлтанда және Люксембургте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толықтыру енгізу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6 қарашада күшіне енді – Қазақстан Республикасының халықаралық шарттары бюллетені, 2020 ж., N 6, 27-құжат)</w:t>
      </w:r>
    </w:p>
    <w:bookmarkStart w:name="z3" w:id="2"/>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w:t>
      </w:r>
    </w:p>
    <w:bookmarkEnd w:id="2"/>
    <w:p>
      <w:pPr>
        <w:spacing w:after="0"/>
        <w:ind w:left="0"/>
        <w:jc w:val="both"/>
      </w:pPr>
      <w:r>
        <w:rPr>
          <w:rFonts w:ascii="Times New Roman"/>
          <w:b w:val="false"/>
          <w:i w:val="false"/>
          <w:color w:val="000000"/>
          <w:sz w:val="28"/>
        </w:rPr>
        <w:t xml:space="preserve">
      2012 жылғы 3 мамырда Люксембургте қол қойылған Хаттамамен енгізілген өзгерістерді ескере отырып,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толықтыру енгізуге ниет білдіре отырып, төмендегілер туралы келісті:</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10-бабы</w:t>
      </w:r>
      <w:r>
        <w:rPr>
          <w:rFonts w:ascii="Times New Roman"/>
          <w:b w:val="false"/>
          <w:i w:val="false"/>
          <w:color w:val="000000"/>
          <w:sz w:val="28"/>
        </w:rPr>
        <w:t xml:space="preserve"> 2-1-тармақпен толықтырылсын:</w:t>
      </w:r>
    </w:p>
    <w:p>
      <w:pPr>
        <w:spacing w:after="0"/>
        <w:ind w:left="0"/>
        <w:jc w:val="both"/>
      </w:pPr>
      <w:r>
        <w:rPr>
          <w:rFonts w:ascii="Times New Roman"/>
          <w:b w:val="false"/>
          <w:i w:val="false"/>
          <w:color w:val="000000"/>
          <w:sz w:val="28"/>
        </w:rPr>
        <w:t>
      "2-1. 2-тармақтың ережелеріне қарамастан, бір Уағдаласушы Мемлекеттің резиденті болып табылатын компания төлейтін дивидендтерге егер дивидендтердің іс жүзіндегі иесі:</w:t>
      </w:r>
    </w:p>
    <w:p>
      <w:pPr>
        <w:spacing w:after="0"/>
        <w:ind w:left="0"/>
        <w:jc w:val="both"/>
      </w:pPr>
      <w:r>
        <w:rPr>
          <w:rFonts w:ascii="Times New Roman"/>
          <w:b w:val="false"/>
          <w:i w:val="false"/>
          <w:color w:val="000000"/>
          <w:sz w:val="28"/>
        </w:rPr>
        <w:t>
      (a) Қазақстанда:</w:t>
      </w:r>
    </w:p>
    <w:p>
      <w:pPr>
        <w:spacing w:after="0"/>
        <w:ind w:left="0"/>
        <w:jc w:val="both"/>
      </w:pPr>
      <w:r>
        <w:rPr>
          <w:rFonts w:ascii="Times New Roman"/>
          <w:b w:val="false"/>
          <w:i w:val="false"/>
          <w:color w:val="000000"/>
          <w:sz w:val="28"/>
        </w:rPr>
        <w:t>
      (i) Қазақстан Республикасының Үкіметі немесе орталық немесе жергілікті билік органы;</w:t>
      </w:r>
    </w:p>
    <w:p>
      <w:pPr>
        <w:spacing w:after="0"/>
        <w:ind w:left="0"/>
        <w:jc w:val="both"/>
      </w:pPr>
      <w:r>
        <w:rPr>
          <w:rFonts w:ascii="Times New Roman"/>
          <w:b w:val="false"/>
          <w:i w:val="false"/>
          <w:color w:val="000000"/>
          <w:sz w:val="28"/>
        </w:rPr>
        <w:t>
      (ii) Қазақстан Республикасының Ұлттық Банкі; немесе</w:t>
      </w:r>
    </w:p>
    <w:p>
      <w:pPr>
        <w:spacing w:after="0"/>
        <w:ind w:left="0"/>
        <w:jc w:val="both"/>
      </w:pPr>
      <w:r>
        <w:rPr>
          <w:rFonts w:ascii="Times New Roman"/>
          <w:b w:val="false"/>
          <w:i w:val="false"/>
          <w:color w:val="000000"/>
          <w:sz w:val="28"/>
        </w:rPr>
        <w:t>
      (iii) Қазақстан Республикасының Үкіметіне толығымен тиесілі Уағдаласушы Мемлекеттердің құзыретті органдары арасында кей-кейде келісілуі мүмкін болатын кез келген басқа мекеме;</w:t>
      </w:r>
    </w:p>
    <w:p>
      <w:pPr>
        <w:spacing w:after="0"/>
        <w:ind w:left="0"/>
        <w:jc w:val="both"/>
      </w:pPr>
      <w:r>
        <w:rPr>
          <w:rFonts w:ascii="Times New Roman"/>
          <w:b w:val="false"/>
          <w:i w:val="false"/>
          <w:color w:val="000000"/>
          <w:sz w:val="28"/>
        </w:rPr>
        <w:t>
      (b) Люксембургте:</w:t>
      </w:r>
    </w:p>
    <w:p>
      <w:pPr>
        <w:spacing w:after="0"/>
        <w:ind w:left="0"/>
        <w:jc w:val="both"/>
      </w:pPr>
      <w:r>
        <w:rPr>
          <w:rFonts w:ascii="Times New Roman"/>
          <w:b w:val="false"/>
          <w:i w:val="false"/>
          <w:color w:val="000000"/>
          <w:sz w:val="28"/>
        </w:rPr>
        <w:t>
      (i) Люксембургтің Үкіметі немесе жергілікті билік органы;</w:t>
      </w:r>
    </w:p>
    <w:p>
      <w:pPr>
        <w:spacing w:after="0"/>
        <w:ind w:left="0"/>
        <w:jc w:val="both"/>
      </w:pPr>
      <w:r>
        <w:rPr>
          <w:rFonts w:ascii="Times New Roman"/>
          <w:b w:val="false"/>
          <w:i w:val="false"/>
          <w:color w:val="000000"/>
          <w:sz w:val="28"/>
        </w:rPr>
        <w:t>
      (ii) Люксембургтің Орталық Банкі;</w:t>
      </w:r>
    </w:p>
    <w:p>
      <w:pPr>
        <w:spacing w:after="0"/>
        <w:ind w:left="0"/>
        <w:jc w:val="both"/>
      </w:pPr>
      <w:r>
        <w:rPr>
          <w:rFonts w:ascii="Times New Roman"/>
          <w:b w:val="false"/>
          <w:i w:val="false"/>
          <w:color w:val="000000"/>
          <w:sz w:val="28"/>
        </w:rPr>
        <w:t>
      (iii) “Societe Nationale de Credit et d’Investissement” (Кредиттеу және инвестициялар жөніндегі ұлттық компания); немесе</w:t>
      </w:r>
    </w:p>
    <w:p>
      <w:pPr>
        <w:spacing w:after="0"/>
        <w:ind w:left="0"/>
        <w:jc w:val="both"/>
      </w:pPr>
      <w:r>
        <w:rPr>
          <w:rFonts w:ascii="Times New Roman"/>
          <w:b w:val="false"/>
          <w:i w:val="false"/>
          <w:color w:val="000000"/>
          <w:sz w:val="28"/>
        </w:rPr>
        <w:t>
      (iv) Люксембургтің Үкіметіне толығымен тиесілі, Уағдаласушы Мемлекеттердің құзыретті органдары арасында кей-кейде келісілуі мүмкін болатын кез келген басқа мекеме болып табылса, салық екінші Уағдаласушы Мемлекетте ғана салынады."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Уағдаласушы Мемлекеттердің әрқайсысы осы Хаттама күшіне ену үшін ұлттық заңнамаға сәйкес қажетті рәсімдердің аяқталғаны туралы екіншісін дипломатиялық арналар арқылы хабардар етеді. Конвенцияның ажырамас бөлігін құрайтын Хаттама осы хабарламалардың соңғысы алынған күннен бастап күшіне енеді және екі Уағдаласушы Мемлекетте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Француз, қазақ, орыс және ағылшын тілдерінде екі төлнұсқа данада жасалды, барлық мәтіндердің күші бірдей.</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 2019ж.14 қазан</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Люксембург, 2019ж.14 қазан</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Люксембург Ұлы Герцогтігінің</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                                                          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Бұдан әрі Хаттаманың француз және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