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67c7" w14:textId="1a46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 РК 218-149-2018 МЕТОДИЧЕСКИЕ РЕКОМЕНДАЦИИ ПО ПРАКТИЧЕСКОМУ ИСПОЛЬЗОВАНИЮ ПРОГРАММЫ ПО ОПРЕДЕЛЕНИЮ НАПРЯЖЕННО-ДЕФОРМИРОВАННОГО СОСТОЯНИЯ МНОГОСЛОЙНОЙ КОНСТРУКЦИИ ДОРОЖНОЙ ОДЕЖДЫ</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21 декабря 2018 года № 122</w:t>
      </w:r>
    </w:p>
    <w:p>
      <w:pPr>
        <w:spacing w:after="0"/>
        <w:ind w:left="0"/>
        <w:jc w:val="left"/>
      </w:pPr>
      <w:bookmarkStart w:name="z4" w:id="0"/>
      <w:r>
        <w:rPr>
          <w:rFonts w:ascii="Times New Roman"/>
          <w:b/>
          <w:i w:val="false"/>
          <w:color w:val="000000"/>
        </w:rPr>
        <w:t xml:space="preserve"> Предисловие   </w:t>
      </w:r>
    </w:p>
    <w:bookmarkEnd w:id="0"/>
    <w:tbl>
      <w:tblPr>
        <w:tblW w:w="0" w:type="auto"/>
        <w:tblCellSpacing w:w="0" w:type="auto"/>
        <w:tblBorders>
          <w:top w:val="none"/>
          <w:left w:val="none"/>
          <w:bottom w:val="none"/>
          <w:right w:val="none"/>
          <w:insideH w:val="none"/>
          <w:insideV w:val="none"/>
        </w:tblBorders>
      </w:tblPr>
      <w:tblGrid>
        <w:gridCol w:w="696"/>
        <w:gridCol w:w="1106"/>
        <w:gridCol w:w="10498"/>
      </w:tblGrid>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И ВНЕСЕНЫ</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"Казахстанский дорожный научно-исследовательский институт" (АО "КаздорНИИ")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УТВЕРЖДЕНЫ И ВВЕДЕНЫ В ДЕЙСТВИЕ</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Приказом Председателя Комитета автомобильных дорог Министерства по инвестициям и развитию Республики Казахстан № 122 от 21 декабря 2018 года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СОГЛАСОВАНЫ</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Акционерным обществом "НК "ҚазАвтоЖол" № 03/14-2-2591-И от 12 ноября 2018 года </w:t>
            </w:r>
          </w:p>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ПЕРВОЙ ПРОВЕРКИ</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w:t>
            </w:r>
          </w:p>
        </w:tc>
        <w:tc>
          <w:tcPr>
            <w:tcW w:w="10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ВВЕДЕНЫ ВПЕРВЫЕ</w:t>
            </w:r>
          </w:p>
        </w:tc>
        <w:tc>
          <w:tcPr>
            <w:tcW w:w="104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xml:space="preserve">
      </w:t>
      </w:r>
      <w:r>
        <w:rPr>
          <w:rFonts w:ascii="Times New Roman"/>
          <w:b w:val="false"/>
          <w:i/>
          <w:color w:val="000000"/>
          <w:sz w:val="28"/>
        </w:rPr>
        <w:t>Документ доступен к просмотру в информационно-правовой системе нормативно-правовых актов Республики Казахстан "Әд</w:t>
      </w:r>
      <w:r>
        <w:rPr>
          <w:rFonts w:ascii="Times New Roman"/>
          <w:b w:val="false"/>
          <w:i/>
          <w:color w:val="000000"/>
          <w:sz w:val="28"/>
        </w:rPr>
        <w:t>i</w:t>
      </w:r>
      <w:r>
        <w:rPr>
          <w:rFonts w:ascii="Times New Roman"/>
          <w:b w:val="false"/>
          <w:i/>
          <w:color w:val="000000"/>
          <w:sz w:val="28"/>
        </w:rPr>
        <w:t xml:space="preserve">лет" </w:t>
      </w:r>
    </w:p>
    <w:bookmarkEnd w:id="1"/>
    <w:bookmarkStart w:name="z6" w:id="2"/>
    <w:p>
      <w:pPr>
        <w:spacing w:after="0"/>
        <w:ind w:left="0"/>
        <w:jc w:val="both"/>
      </w:pPr>
      <w:r>
        <w:rPr>
          <w:rFonts w:ascii="Times New Roman"/>
          <w:b w:val="false"/>
          <w:i w:val="false"/>
          <w:color w:val="000000"/>
          <w:sz w:val="28"/>
        </w:rPr>
        <w:t xml:space="preserve">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 </w:t>
      </w:r>
    </w:p>
    <w:bookmarkEnd w:id="2"/>
    <w:bookmarkStart w:name="z7" w:id="3"/>
    <w:p>
      <w:pPr>
        <w:spacing w:after="0"/>
        <w:ind w:left="0"/>
        <w:jc w:val="left"/>
      </w:pPr>
      <w:r>
        <w:rPr>
          <w:rFonts w:ascii="Times New Roman"/>
          <w:b/>
          <w:i w:val="false"/>
          <w:color w:val="000000"/>
        </w:rPr>
        <w:t xml:space="preserve"> Содержание </w:t>
      </w:r>
    </w:p>
    <w:bookmarkEnd w:id="3"/>
    <w:tbl>
      <w:tblPr>
        <w:tblW w:w="0" w:type="auto"/>
        <w:tblCellSpacing w:w="0" w:type="auto"/>
        <w:tblBorders>
          <w:top w:val="none"/>
          <w:left w:val="none"/>
          <w:bottom w:val="none"/>
          <w:right w:val="none"/>
          <w:insideH w:val="none"/>
          <w:insideV w:val="none"/>
        </w:tblBorders>
      </w:tblPr>
      <w:tblGrid>
        <w:gridCol w:w="1303"/>
        <w:gridCol w:w="10997"/>
      </w:tblGrid>
      <w:tr>
        <w:trPr>
          <w:trHeight w:val="30" w:hRule="atLeast"/>
        </w:trPr>
        <w:tc>
          <w:tcPr>
            <w:tcW w:w="13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r>
              <w:rPr>
                <w:rFonts w:ascii="Times New Roman"/>
                <w:b w:val="false"/>
                <w:i w:val="false"/>
                <w:color w:val="000000"/>
                <w:sz w:val="20"/>
              </w:rPr>
              <w:t xml:space="preserve"> </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применения</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ссылки</w:t>
            </w:r>
            <w:r>
              <w:rPr>
                <w:rFonts w:ascii="Times New Roman"/>
                <w:b w:val="false"/>
                <w:i w:val="false"/>
                <w:color w:val="000000"/>
                <w:sz w:val="20"/>
              </w:rPr>
              <w:t xml:space="preserve"> </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и определения</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Методика использования программы BASIC_NDS_MKE_8_uzlov</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Общая постановка задачи</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массивов координат</w:t>
            </w:r>
            <w:r>
              <w:rPr>
                <w:rFonts w:ascii="Times New Roman"/>
                <w:b w:val="false"/>
                <w:i w:val="false"/>
                <w:color w:val="000000"/>
                <w:sz w:val="20"/>
              </w:rPr>
              <w:t xml:space="preserve"> </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Граничные условия</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Определяющие соотношения уравнения равновесия</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Вычисление матрицы градиентов четырехугольного элемента с восемью узлами</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Алгоритм определения деформации и напряжений</w:t>
            </w:r>
            <w:r>
              <w:rPr>
                <w:rFonts w:ascii="Times New Roman"/>
                <w:b w:val="false"/>
                <w:i w:val="false"/>
                <w:color w:val="000000"/>
                <w:sz w:val="20"/>
              </w:rPr>
              <w:t xml:space="preserve"> </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Краткая инструкция по использованию программы</w:t>
            </w:r>
            <w:r>
              <w:rPr>
                <w:rFonts w:ascii="Times New Roman"/>
                <w:b w:val="false"/>
                <w:i w:val="false"/>
                <w:color w:val="000000"/>
                <w:sz w:val="20"/>
              </w:rPr>
              <w:t xml:space="preserve"> BASIC_NDS_MKE_8_uzlov</w:t>
            </w:r>
          </w:p>
        </w:tc>
      </w:tr>
      <w:tr>
        <w:trPr>
          <w:trHeight w:val="30" w:hRule="atLeast"/>
        </w:trPr>
        <w:tc>
          <w:tcPr>
            <w:tcW w:w="1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расчетов по программе BASIC_NDS_MKE_8_uzlov</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А</w:t>
            </w:r>
            <w:r>
              <w:rPr>
                <w:rFonts w:ascii="Times New Roman"/>
                <w:b w:val="false"/>
                <w:i/>
                <w:color w:val="000000"/>
                <w:sz w:val="20"/>
              </w:rPr>
              <w:t xml:space="preserve"> (обязательное)</w:t>
            </w:r>
            <w:r>
              <w:rPr>
                <w:rFonts w:ascii="Times New Roman"/>
                <w:b w:val="false"/>
                <w:i w:val="false"/>
                <w:color w:val="000000"/>
                <w:sz w:val="20"/>
              </w:rPr>
              <w:t xml:space="preserve"> Исходный код программы BASIC_NDS_MKE_8_uzlov </w:t>
            </w:r>
            <w:r>
              <w:rPr>
                <w:rFonts w:ascii="Times New Roman"/>
                <w:b w:val="false"/>
                <w:i w:val="false"/>
                <w:color w:val="000000"/>
                <w:sz w:val="20"/>
              </w:rPr>
              <w:t>Приложение Б</w:t>
            </w:r>
            <w:r>
              <w:rPr>
                <w:rFonts w:ascii="Times New Roman"/>
                <w:b w:val="false"/>
                <w:i w:val="false"/>
                <w:color w:val="000000"/>
                <w:sz w:val="20"/>
              </w:rPr>
              <w:t xml:space="preserve"> </w:t>
            </w:r>
            <w:r>
              <w:rPr>
                <w:rFonts w:ascii="Times New Roman"/>
                <w:b w:val="false"/>
                <w:i/>
                <w:color w:val="000000"/>
                <w:sz w:val="20"/>
              </w:rPr>
              <w:t>(обязательное)</w:t>
            </w:r>
            <w:r>
              <w:rPr>
                <w:rFonts w:ascii="Times New Roman"/>
                <w:b w:val="false"/>
                <w:i w:val="false"/>
                <w:color w:val="000000"/>
                <w:sz w:val="20"/>
              </w:rPr>
              <w:t xml:space="preserve"> Исходный код подпрограммы BtDBnds </w:t>
            </w:r>
            <w:r>
              <w:br/>
            </w:r>
            <w:r>
              <w:rPr>
                <w:rFonts w:ascii="Times New Roman"/>
                <w:b w:val="false"/>
                <w:i w:val="false"/>
                <w:color w:val="000000"/>
                <w:sz w:val="20"/>
              </w:rPr>
              <w:t>
</w:t>
            </w:r>
            <w:r>
              <w:rPr>
                <w:rFonts w:ascii="Times New Roman"/>
                <w:b w:val="false"/>
                <w:i w:val="false"/>
                <w:color w:val="000000"/>
                <w:sz w:val="20"/>
              </w:rPr>
              <w:t>Библиография</w:t>
            </w:r>
            <w:r>
              <w:rPr>
                <w:rFonts w:ascii="Times New Roman"/>
                <w:b w:val="false"/>
                <w:i w:val="false"/>
                <w:color w:val="000000"/>
                <w:sz w:val="20"/>
              </w:rPr>
              <w:t xml:space="preserve"> </w:t>
            </w:r>
          </w:p>
        </w:tc>
      </w:tr>
    </w:tbl>
    <w:bookmarkStart w:name="z9" w:id="4"/>
    <w:p>
      <w:pPr>
        <w:spacing w:after="0"/>
        <w:ind w:left="0"/>
        <w:jc w:val="left"/>
      </w:pPr>
      <w:r>
        <w:rPr>
          <w:rFonts w:ascii="Times New Roman"/>
          <w:b/>
          <w:i w:val="false"/>
          <w:color w:val="000000"/>
        </w:rPr>
        <w:t xml:space="preserve"> Введение</w:t>
      </w:r>
    </w:p>
    <w:bookmarkEnd w:id="4"/>
    <w:bookmarkStart w:name="z10" w:id="5"/>
    <w:p>
      <w:pPr>
        <w:spacing w:after="0"/>
        <w:ind w:left="0"/>
        <w:jc w:val="both"/>
      </w:pPr>
      <w:r>
        <w:rPr>
          <w:rFonts w:ascii="Times New Roman"/>
          <w:b w:val="false"/>
          <w:i w:val="false"/>
          <w:color w:val="000000"/>
          <w:sz w:val="28"/>
        </w:rPr>
        <w:t>
      Настоящие методические рекомендации разработаны согласно плану работ, принятому в рамках выполнения темы Б01.02 "Разработка теоретических решений и программ для определения напряженно-деформированного состояния многослойной конструкции дорожной одежды".</w:t>
      </w:r>
    </w:p>
    <w:bookmarkEnd w:id="5"/>
    <w:bookmarkStart w:name="z11" w:id="6"/>
    <w:p>
      <w:pPr>
        <w:spacing w:after="0"/>
        <w:ind w:left="0"/>
        <w:jc w:val="both"/>
      </w:pPr>
      <w:r>
        <w:rPr>
          <w:rFonts w:ascii="Times New Roman"/>
          <w:b w:val="false"/>
          <w:i w:val="false"/>
          <w:color w:val="000000"/>
          <w:sz w:val="28"/>
        </w:rPr>
        <w:t>
      Документ содержит постановку типовой задачи по определению напряженно-деформированного состояния многослойной дорожной конструкции, статически нагруженной весом автомобиля, и основные формулы из алгоритма расчета методом конечных элементов. В методе применяется высокоточный квадратичный прямоугольный конечный элемент с восемью узлами. В приложении А приведен текст (листинг) расчетной программы BASIC_NDS_MKE_8_uzlovна языке MATLAB [1-4], снабженный необходимыми комментариями. В приложении Б приводится листинг подпрограммы BDB0, предназначенный для вычисления матрицы жесткости элемента. Приводится также краткая инструкция по использованию программы BASIC_NDS_MKE_8_uzlov. В конце документа приведен список использованной литературы.</w:t>
      </w:r>
    </w:p>
    <w:bookmarkEnd w:id="6"/>
    <w:bookmarkStart w:name="z12" w:id="7"/>
    <w:p>
      <w:pPr>
        <w:spacing w:after="0"/>
        <w:ind w:left="0"/>
        <w:jc w:val="left"/>
      </w:pPr>
      <w:r>
        <w:rPr>
          <w:rFonts w:ascii="Times New Roman"/>
          <w:b/>
          <w:i w:val="false"/>
          <w:color w:val="000000"/>
        </w:rPr>
        <w:t xml:space="preserve"> 1 Область применения </w:t>
      </w:r>
    </w:p>
    <w:bookmarkEnd w:id="7"/>
    <w:bookmarkStart w:name="z13" w:id="8"/>
    <w:p>
      <w:pPr>
        <w:spacing w:after="0"/>
        <w:ind w:left="0"/>
        <w:jc w:val="both"/>
      </w:pPr>
      <w:r>
        <w:rPr>
          <w:rFonts w:ascii="Times New Roman"/>
          <w:b w:val="false"/>
          <w:i w:val="false"/>
          <w:color w:val="000000"/>
          <w:sz w:val="28"/>
        </w:rPr>
        <w:t>
      1.1 Настоящие рекомендации распространяются на сеть автомобильных дорог общего пользования Республики Казахстан и предназначены для решения вопросов, связанных с проектированием многослойных автомобильных дорог общего пользования.</w:t>
      </w:r>
    </w:p>
    <w:bookmarkEnd w:id="8"/>
    <w:bookmarkStart w:name="z14" w:id="9"/>
    <w:p>
      <w:pPr>
        <w:spacing w:after="0"/>
        <w:ind w:left="0"/>
        <w:jc w:val="both"/>
      </w:pPr>
      <w:r>
        <w:rPr>
          <w:rFonts w:ascii="Times New Roman"/>
          <w:b w:val="false"/>
          <w:i w:val="false"/>
          <w:color w:val="000000"/>
          <w:sz w:val="28"/>
        </w:rPr>
        <w:t>
      1.2 Рекомендациями следует руководствоваться при проектировании конструкций дорожных одежд для автомобильных дорог общего пользования, для расчета дорожных одежд на стадиях проектирования и эксплуатации, а также при решении инженерно-экономических задач применительно к автомобильным дорогам.</w:t>
      </w:r>
    </w:p>
    <w:bookmarkEnd w:id="9"/>
    <w:bookmarkStart w:name="z15" w:id="10"/>
    <w:p>
      <w:pPr>
        <w:spacing w:after="0"/>
        <w:ind w:left="0"/>
        <w:jc w:val="left"/>
      </w:pPr>
      <w:r>
        <w:rPr>
          <w:rFonts w:ascii="Times New Roman"/>
          <w:b/>
          <w:i w:val="false"/>
          <w:color w:val="000000"/>
        </w:rPr>
        <w:t xml:space="preserve"> 2 Нормативные ссылки </w:t>
      </w:r>
    </w:p>
    <w:bookmarkEnd w:id="10"/>
    <w:bookmarkStart w:name="z16" w:id="11"/>
    <w:p>
      <w:pPr>
        <w:spacing w:after="0"/>
        <w:ind w:left="0"/>
        <w:jc w:val="both"/>
      </w:pPr>
      <w:r>
        <w:rPr>
          <w:rFonts w:ascii="Times New Roman"/>
          <w:b w:val="false"/>
          <w:i w:val="false"/>
          <w:color w:val="000000"/>
          <w:sz w:val="28"/>
        </w:rPr>
        <w:t xml:space="preserve">
      Для применения настоящих рекомендаций необходимы следующие ссылочные нормативные документы: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 РК</w:t>
      </w:r>
      <w:r>
        <w:rPr>
          <w:rFonts w:ascii="Times New Roman"/>
          <w:b w:val="false"/>
          <w:i w:val="false"/>
          <w:color w:val="000000"/>
          <w:sz w:val="28"/>
        </w:rPr>
        <w:t xml:space="preserve"> 3.03-103-2014 "Проектирование жестких дорожных одежд"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 РК</w:t>
      </w:r>
      <w:r>
        <w:rPr>
          <w:rFonts w:ascii="Times New Roman"/>
          <w:b w:val="false"/>
          <w:i w:val="false"/>
          <w:color w:val="000000"/>
          <w:sz w:val="28"/>
        </w:rPr>
        <w:t xml:space="preserve"> 3.03-104-2014 "Проектирование нежестких дорожных одежд" </w:t>
      </w:r>
    </w:p>
    <w:bookmarkStart w:name="z19" w:id="12"/>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документов по ежегодно издаваемому информационному указателю "Нормативные документы по стандартизации", составленному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это ссылку.</w:t>
      </w:r>
    </w:p>
    <w:bookmarkEnd w:id="12"/>
    <w:bookmarkStart w:name="z20" w:id="13"/>
    <w:p>
      <w:pPr>
        <w:spacing w:after="0"/>
        <w:ind w:left="0"/>
        <w:jc w:val="left"/>
      </w:pPr>
      <w:r>
        <w:rPr>
          <w:rFonts w:ascii="Times New Roman"/>
          <w:b/>
          <w:i w:val="false"/>
          <w:color w:val="000000"/>
        </w:rPr>
        <w:t xml:space="preserve"> 3 Термины и определения </w:t>
      </w:r>
    </w:p>
    <w:bookmarkEnd w:id="13"/>
    <w:bookmarkStart w:name="z21" w:id="14"/>
    <w:p>
      <w:pPr>
        <w:spacing w:after="0"/>
        <w:ind w:left="0"/>
        <w:jc w:val="both"/>
      </w:pPr>
      <w:r>
        <w:rPr>
          <w:rFonts w:ascii="Times New Roman"/>
          <w:b w:val="false"/>
          <w:i w:val="false"/>
          <w:color w:val="000000"/>
          <w:sz w:val="28"/>
        </w:rPr>
        <w:t xml:space="preserve">
      В настоящих рекомендациях применяются следующие термины с соответствующими определениями:  </w:t>
      </w:r>
    </w:p>
    <w:bookmarkEnd w:id="14"/>
    <w:bookmarkStart w:name="z22" w:id="15"/>
    <w:p>
      <w:pPr>
        <w:spacing w:after="0"/>
        <w:ind w:left="0"/>
        <w:jc w:val="both"/>
      </w:pPr>
      <w:r>
        <w:rPr>
          <w:rFonts w:ascii="Times New Roman"/>
          <w:b w:val="false"/>
          <w:i w:val="false"/>
          <w:color w:val="000000"/>
          <w:sz w:val="28"/>
        </w:rPr>
        <w:t xml:space="preserve">
      3.1 Дорожная одежда: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 </w:t>
      </w:r>
    </w:p>
    <w:bookmarkEnd w:id="15"/>
    <w:bookmarkStart w:name="z23" w:id="16"/>
    <w:p>
      <w:pPr>
        <w:spacing w:after="0"/>
        <w:ind w:left="0"/>
        <w:jc w:val="both"/>
      </w:pPr>
      <w:r>
        <w:rPr>
          <w:rFonts w:ascii="Times New Roman"/>
          <w:b w:val="false"/>
          <w:i w:val="false"/>
          <w:color w:val="000000"/>
          <w:sz w:val="28"/>
        </w:rPr>
        <w:t>
      3.2 Земляное полотно: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bookmarkEnd w:id="16"/>
    <w:bookmarkStart w:name="z24" w:id="17"/>
    <w:p>
      <w:pPr>
        <w:spacing w:after="0"/>
        <w:ind w:left="0"/>
        <w:jc w:val="both"/>
      </w:pPr>
      <w:r>
        <w:rPr>
          <w:rFonts w:ascii="Times New Roman"/>
          <w:b w:val="false"/>
          <w:i w:val="false"/>
          <w:color w:val="000000"/>
          <w:sz w:val="28"/>
        </w:rPr>
        <w:t>
      3.3 Деформация: Относительная величина, характеризующая изменение линейных размеров тела по отношению к его первоначальным размерам.</w:t>
      </w:r>
    </w:p>
    <w:bookmarkEnd w:id="17"/>
    <w:bookmarkStart w:name="z25" w:id="18"/>
    <w:p>
      <w:pPr>
        <w:spacing w:after="0"/>
        <w:ind w:left="0"/>
        <w:jc w:val="both"/>
      </w:pPr>
      <w:r>
        <w:rPr>
          <w:rFonts w:ascii="Times New Roman"/>
          <w:b w:val="false"/>
          <w:i w:val="false"/>
          <w:color w:val="000000"/>
          <w:sz w:val="28"/>
        </w:rPr>
        <w:t>
      3.4 Напряжение: Относительная величина, определяемая нормальной или касательной нагрузкой, приходящейся на единицу площади.</w:t>
      </w:r>
    </w:p>
    <w:bookmarkEnd w:id="18"/>
    <w:bookmarkStart w:name="z26" w:id="19"/>
    <w:p>
      <w:pPr>
        <w:spacing w:after="0"/>
        <w:ind w:left="0"/>
        <w:jc w:val="both"/>
      </w:pPr>
      <w:r>
        <w:rPr>
          <w:rFonts w:ascii="Times New Roman"/>
          <w:b w:val="false"/>
          <w:i w:val="false"/>
          <w:color w:val="000000"/>
          <w:sz w:val="28"/>
        </w:rPr>
        <w:t>
      3.5 Дорожная одежда нежесткая: Дорожная одежда со слоями, устроенными из разного вида асфальтобетонов, из материалов и грунтов укрепленных битумом, цементом, известью, комплексными и другими вяжущими, а также из слабосвязных зернистых материалов</w:t>
      </w:r>
    </w:p>
    <w:bookmarkEnd w:id="19"/>
    <w:bookmarkStart w:name="z27" w:id="20"/>
    <w:p>
      <w:pPr>
        <w:spacing w:after="0"/>
        <w:ind w:left="0"/>
        <w:jc w:val="both"/>
      </w:pPr>
      <w:r>
        <w:rPr>
          <w:rFonts w:ascii="Times New Roman"/>
          <w:b w:val="false"/>
          <w:i w:val="false"/>
          <w:color w:val="000000"/>
          <w:sz w:val="28"/>
        </w:rPr>
        <w:t>
      3.6 Конструктивный слой: Каждый слой дорожной одежды, состоящий из однородных материалов и отличающийся от соседних слоев видом материалов, его прочностью и составом. Учитывается при расчете прочности дорожной одежды.</w:t>
      </w:r>
    </w:p>
    <w:bookmarkEnd w:id="20"/>
    <w:bookmarkStart w:name="z28" w:id="21"/>
    <w:p>
      <w:pPr>
        <w:spacing w:after="0"/>
        <w:ind w:left="0"/>
        <w:jc w:val="both"/>
      </w:pPr>
      <w:r>
        <w:rPr>
          <w:rFonts w:ascii="Times New Roman"/>
          <w:b w:val="false"/>
          <w:i w:val="false"/>
          <w:color w:val="000000"/>
          <w:sz w:val="28"/>
        </w:rPr>
        <w:t>
      3.7 Покрытие дорожное: Одно- или многослойная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w:t>
      </w:r>
    </w:p>
    <w:bookmarkEnd w:id="21"/>
    <w:bookmarkStart w:name="z29" w:id="22"/>
    <w:p>
      <w:pPr>
        <w:spacing w:after="0"/>
        <w:ind w:left="0"/>
        <w:jc w:val="both"/>
      </w:pPr>
      <w:r>
        <w:rPr>
          <w:rFonts w:ascii="Times New Roman"/>
          <w:b w:val="false"/>
          <w:i w:val="false"/>
          <w:color w:val="000000"/>
          <w:sz w:val="28"/>
        </w:rPr>
        <w:t>
      3.8 Основание дорожное: Нижний несущий слой дорожной одежды, воспринимающий нагрузки от транспортных средств совместно с покрытием и предназначенный для ее распределения на дополнительные слои или непосредственно на грунт земляного полотна.</w:t>
      </w:r>
    </w:p>
    <w:bookmarkEnd w:id="22"/>
    <w:bookmarkStart w:name="z30" w:id="23"/>
    <w:p>
      <w:pPr>
        <w:spacing w:after="0"/>
        <w:ind w:left="0"/>
        <w:jc w:val="both"/>
      </w:pPr>
      <w:r>
        <w:rPr>
          <w:rFonts w:ascii="Times New Roman"/>
          <w:b w:val="false"/>
          <w:i w:val="false"/>
          <w:color w:val="000000"/>
          <w:sz w:val="28"/>
        </w:rPr>
        <w:t>
      3.9 Метод конечных элементов: Численный метод решения дифференциальных уравнений математической физики.</w:t>
      </w:r>
    </w:p>
    <w:bookmarkEnd w:id="23"/>
    <w:bookmarkStart w:name="z31" w:id="24"/>
    <w:p>
      <w:pPr>
        <w:spacing w:after="0"/>
        <w:ind w:left="0"/>
        <w:jc w:val="left"/>
      </w:pPr>
      <w:r>
        <w:rPr>
          <w:rFonts w:ascii="Times New Roman"/>
          <w:b/>
          <w:i w:val="false"/>
          <w:color w:val="000000"/>
        </w:rPr>
        <w:t xml:space="preserve"> 4 Методика использования программы BASIC_NDS_MKE_8_uzlov </w:t>
      </w:r>
    </w:p>
    <w:bookmarkEnd w:id="24"/>
    <w:bookmarkStart w:name="z32" w:id="25"/>
    <w:p>
      <w:pPr>
        <w:spacing w:after="0"/>
        <w:ind w:left="0"/>
        <w:jc w:val="left"/>
      </w:pPr>
      <w:r>
        <w:rPr>
          <w:rFonts w:ascii="Times New Roman"/>
          <w:b/>
          <w:i w:val="false"/>
          <w:color w:val="000000"/>
        </w:rPr>
        <w:t xml:space="preserve"> 4.1 Общая постановка задачи</w:t>
      </w:r>
    </w:p>
    <w:bookmarkEnd w:id="25"/>
    <w:bookmarkStart w:name="z33" w:id="26"/>
    <w:p>
      <w:pPr>
        <w:spacing w:after="0"/>
        <w:ind w:left="0"/>
        <w:jc w:val="both"/>
      </w:pPr>
      <w:r>
        <w:rPr>
          <w:rFonts w:ascii="Times New Roman"/>
          <w:b w:val="false"/>
          <w:i w:val="false"/>
          <w:color w:val="000000"/>
          <w:sz w:val="28"/>
        </w:rPr>
        <w:t xml:space="preserve">
      Для построения математической модели автомобильной дороги общего пользования рассмотрим конструкцию, состоящую из двухслойной асфальтобетонной дорожной одежды и основания дорожной одежды, состоящего из щебеночно-песчаной смеси с 8 % цементной добавкой, щебеночной смеси и гравийно-песчаной смеси. Основание дорожной одежды устраивается на грунтовом основании из легкого суглинка (рисунок 1). </w:t>
      </w:r>
    </w:p>
    <w:bookmarkEnd w:id="26"/>
    <w:bookmarkStart w:name="z34" w:id="27"/>
    <w:p>
      <w:pPr>
        <w:spacing w:after="0"/>
        <w:ind w:left="0"/>
        <w:jc w:val="both"/>
      </w:pPr>
      <w:r>
        <w:rPr>
          <w:rFonts w:ascii="Times New Roman"/>
          <w:b w:val="false"/>
          <w:i w:val="false"/>
          <w:color w:val="000000"/>
          <w:sz w:val="28"/>
        </w:rPr>
        <w:t xml:space="preserve">
      Возможности численного метода – метода конечных элементов, применяемого для решения задачи о равновесии многослойной конструкции, позволяют сравнительно легко назначать требуемые значения геометрических размеров конструктивных слоев и физико-механических характеристик материалов, используемых в конструкции. </w:t>
      </w:r>
    </w:p>
    <w:bookmarkEnd w:id="27"/>
    <w:bookmarkStart w:name="z35" w:id="28"/>
    <w:p>
      <w:pPr>
        <w:spacing w:after="0"/>
        <w:ind w:left="0"/>
        <w:jc w:val="both"/>
      </w:pPr>
      <w:r>
        <w:rPr>
          <w:rFonts w:ascii="Times New Roman"/>
          <w:b w:val="false"/>
          <w:i w:val="false"/>
          <w:color w:val="000000"/>
          <w:sz w:val="28"/>
        </w:rPr>
        <w:t xml:space="preserve">
      Поэтому, приведенные в таблице 1 геометрические размеры конструктивных слоев в рассматриваемой математической модели (рисунок 1) и физико-механические свойства материалов конструктивных элементов (в том числе модули упругости) назначены согласно [6]. </w:t>
      </w:r>
    </w:p>
    <w:bookmarkEnd w:id="28"/>
    <w:bookmarkStart w:name="z3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9596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 – покрытие, асфальтобетон мелкозернистый плотный; 2 – асфальтобетон крупнозернистый пористый; 3 – щебеночно-песчаная смесь 8 %; 4 – щебеночная смесь; 5 –гравийно-песчаная смесь; 6 – грунт суглинок легкий</w:t>
      </w:r>
    </w:p>
    <w:bookmarkEnd w:id="30"/>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1 </w:t>
      </w:r>
      <w:r>
        <w:rPr>
          <w:rFonts w:ascii="Times New Roman"/>
          <w:b/>
          <w:i w:val="false"/>
          <w:color w:val="000000"/>
          <w:sz w:val="28"/>
        </w:rPr>
        <w:t xml:space="preserve">– </w:t>
      </w:r>
      <w:r>
        <w:rPr>
          <w:rFonts w:ascii="Times New Roman"/>
          <w:b/>
          <w:i w:val="false"/>
          <w:color w:val="000000"/>
          <w:sz w:val="28"/>
        </w:rPr>
        <w:t>Схематический вид дорожной конструкции</w:t>
      </w:r>
      <w:r>
        <w:rPr>
          <w:rFonts w:ascii="Times New Roman"/>
          <w:b w:val="false"/>
          <w:i w:val="false"/>
          <w:color w:val="000000"/>
          <w:sz w:val="28"/>
        </w:rPr>
        <w:t xml:space="preserve"> </w:t>
      </w:r>
    </w:p>
    <w:bookmarkEnd w:id="31"/>
    <w:bookmarkStart w:name="z39" w:id="32"/>
    <w:p>
      <w:pPr>
        <w:spacing w:after="0"/>
        <w:ind w:left="0"/>
        <w:jc w:val="both"/>
      </w:pPr>
      <w:r>
        <w:rPr>
          <w:rFonts w:ascii="Times New Roman"/>
          <w:b w:val="false"/>
          <w:i w:val="false"/>
          <w:color w:val="000000"/>
          <w:sz w:val="28"/>
        </w:rPr>
        <w:t>
      Значения физико-механических свойств материалов конструктивных элементов вводятся в 108-110 строках приложения А.</w:t>
      </w:r>
    </w:p>
    <w:bookmarkEnd w:id="32"/>
    <w:bookmarkStart w:name="z40" w:id="3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i w:val="false"/>
          <w:color w:val="000000"/>
          <w:sz w:val="28"/>
        </w:rPr>
        <w:t xml:space="preserve"> 1</w:t>
      </w:r>
      <w:r>
        <w:rPr>
          <w:rFonts w:ascii="Times New Roman"/>
          <w:b/>
          <w:i w:val="false"/>
          <w:color w:val="000000"/>
          <w:sz w:val="28"/>
        </w:rPr>
        <w:t xml:space="preserve"> –</w:t>
      </w:r>
      <w:r>
        <w:rPr>
          <w:rFonts w:ascii="Times New Roman"/>
          <w:b/>
          <w:i w:val="false"/>
          <w:color w:val="000000"/>
          <w:sz w:val="28"/>
        </w:rPr>
        <w:t xml:space="preserve"> Характеристики конструктивных слоев</w:t>
      </w:r>
      <w:r>
        <w:rPr>
          <w:rFonts w:ascii="Times New Roman"/>
          <w:b w:val="false"/>
          <w:i w:val="false"/>
          <w:color w:val="000000"/>
          <w:sz w:val="28"/>
        </w:rPr>
        <w:t xml:space="preserve">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944"/>
        <w:gridCol w:w="2641"/>
        <w:gridCol w:w="2642"/>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конструктивного слоя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упругости Е, МПа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Пуассона,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м</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Асфальтобетон мелкозернистый плотный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Асфальтобетон крупнозернистый пористый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Щебеночно-песчаная смесь 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Щебеночная смесь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Гравийно-песчаная смесь</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Грунт суглинок легкий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 w:id="34"/>
    <w:p>
      <w:pPr>
        <w:spacing w:after="0"/>
        <w:ind w:left="0"/>
        <w:jc w:val="both"/>
      </w:pPr>
      <w:r>
        <w:rPr>
          <w:rFonts w:ascii="Times New Roman"/>
          <w:b w:val="false"/>
          <w:i w:val="false"/>
          <w:color w:val="000000"/>
          <w:sz w:val="28"/>
        </w:rPr>
        <w:t xml:space="preserve">
      Для компьютерной реализации алгоритма решения задачи о напряженно-деформированном состоянии дорожной конструкции методом конечных элементов разработана расчетная программа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на алгоритмическом языке системы MATLAB.</w:t>
      </w:r>
    </w:p>
    <w:bookmarkEnd w:id="34"/>
    <w:bookmarkStart w:name="z42" w:id="35"/>
    <w:p>
      <w:pPr>
        <w:spacing w:after="0"/>
        <w:ind w:left="0"/>
        <w:jc w:val="both"/>
      </w:pPr>
      <w:r>
        <w:rPr>
          <w:rFonts w:ascii="Times New Roman"/>
          <w:b w:val="false"/>
          <w:i w:val="false"/>
          <w:color w:val="000000"/>
          <w:sz w:val="28"/>
        </w:rPr>
        <w:t>
      Исследуемая область разбивается на квадратичные прямоугольные конечные элементы с восемью узлами (рисунок 2). Местная нумерация узлов с 1 по 8 в таком конечном элементе начинается с левого нижнего узла, и осуществляется в направлении против часовой стрелки.</w:t>
      </w:r>
    </w:p>
    <w:bookmarkEnd w:id="35"/>
    <w:bookmarkStart w:name="z4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7719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i w:val="false"/>
          <w:color w:val="000000"/>
          <w:sz w:val="28"/>
        </w:rPr>
        <w:t xml:space="preserve"> –</w:t>
      </w:r>
      <w:r>
        <w:rPr>
          <w:rFonts w:ascii="Times New Roman"/>
          <w:b/>
          <w:i w:val="false"/>
          <w:color w:val="000000"/>
          <w:sz w:val="28"/>
        </w:rPr>
        <w:t xml:space="preserve"> Прямоугольный элемент с восемью узлами</w:t>
      </w:r>
      <w:r>
        <w:rPr>
          <w:rFonts w:ascii="Times New Roman"/>
          <w:b w:val="false"/>
          <w:i w:val="false"/>
          <w:color w:val="000000"/>
          <w:sz w:val="28"/>
        </w:rPr>
        <w:t xml:space="preserve"> </w:t>
      </w:r>
    </w:p>
    <w:bookmarkEnd w:id="37"/>
    <w:bookmarkStart w:name="z45" w:id="38"/>
    <w:p>
      <w:pPr>
        <w:spacing w:after="0"/>
        <w:ind w:left="0"/>
        <w:jc w:val="both"/>
      </w:pPr>
      <w:r>
        <w:rPr>
          <w:rFonts w:ascii="Times New Roman"/>
          <w:b w:val="false"/>
          <w:i w:val="false"/>
          <w:color w:val="000000"/>
          <w:sz w:val="28"/>
        </w:rPr>
        <w:t xml:space="preserve">
      Для создания конечно-элементной сетки применялись переменные шаги  и  в направлении координатных осей  и  (рисунок 3).  </w:t>
      </w:r>
    </w:p>
    <w:bookmarkEnd w:id="38"/>
    <w:bookmarkStart w:name="z46" w:id="39"/>
    <w:p>
      <w:pPr>
        <w:spacing w:after="0"/>
        <w:ind w:left="0"/>
        <w:jc w:val="both"/>
      </w:pPr>
      <w:r>
        <w:rPr>
          <w:rFonts w:ascii="Times New Roman"/>
          <w:b w:val="false"/>
          <w:i w:val="false"/>
          <w:color w:val="000000"/>
          <w:sz w:val="28"/>
        </w:rPr>
        <w:t xml:space="preserve">
      В каждом горизонтальном ряде (рисунок 3) расположено по 60 элементов (egor=60), а количество горизонтальных рядов элементов – 23 (ever=23). Следовательно, исследуемая область разбита на 1380 конечных элементов, а число узлов равно np=(3*ever+2)*egor+2*ever+1=4307 (строки 12-15 приложения А). </w:t>
      </w:r>
    </w:p>
    <w:bookmarkEnd w:id="39"/>
    <w:bookmarkStart w:name="z4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54991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 xml:space="preserve"> Схематический вид конечно-элементной</w:t>
      </w:r>
      <w:r>
        <w:rPr>
          <w:rFonts w:ascii="Times New Roman"/>
          <w:b/>
          <w:i w:val="false"/>
          <w:color w:val="000000"/>
          <w:sz w:val="28"/>
        </w:rPr>
        <w:t xml:space="preserve"> разбивк</w:t>
      </w:r>
      <w:r>
        <w:rPr>
          <w:rFonts w:ascii="Times New Roman"/>
          <w:b/>
          <w:i w:val="false"/>
          <w:color w:val="000000"/>
          <w:sz w:val="28"/>
        </w:rPr>
        <w:t>и</w:t>
      </w:r>
      <w:r>
        <w:rPr>
          <w:rFonts w:ascii="Times New Roman"/>
          <w:b/>
          <w:i w:val="false"/>
          <w:color w:val="000000"/>
          <w:sz w:val="28"/>
        </w:rPr>
        <w:t xml:space="preserve"> исследуемой области</w:t>
      </w:r>
    </w:p>
    <w:bookmarkEnd w:id="41"/>
    <w:bookmarkStart w:name="z49" w:id="42"/>
    <w:p>
      <w:pPr>
        <w:spacing w:after="0"/>
        <w:ind w:left="0"/>
        <w:jc w:val="both"/>
      </w:pPr>
      <w:r>
        <w:rPr>
          <w:rFonts w:ascii="Times New Roman"/>
          <w:b w:val="false"/>
          <w:i w:val="false"/>
          <w:color w:val="000000"/>
          <w:sz w:val="28"/>
        </w:rPr>
        <w:t xml:space="preserve">
      Глобальная нумерация узлов начинается с крайнего левого вертикального ряда узлов, и осуществляется сверху вниз и перемещается слева направо (рисунок 3). </w:t>
      </w:r>
    </w:p>
    <w:bookmarkEnd w:id="42"/>
    <w:bookmarkStart w:name="z50" w:id="43"/>
    <w:p>
      <w:pPr>
        <w:spacing w:after="0"/>
        <w:ind w:left="0"/>
        <w:jc w:val="both"/>
      </w:pPr>
      <w:r>
        <w:rPr>
          <w:rFonts w:ascii="Times New Roman"/>
          <w:b w:val="false"/>
          <w:i w:val="false"/>
          <w:color w:val="000000"/>
          <w:sz w:val="28"/>
        </w:rPr>
        <w:t>
      При этом разбивка получается нерегулярной, т.к. в восьмиузловых элементах центральный узел отсутствует. В данном случае, в одном вертикальном ряде имеются 47 узлов, а в следующем – 24 узла.</w:t>
      </w:r>
    </w:p>
    <w:bookmarkEnd w:id="43"/>
    <w:bookmarkStart w:name="z51" w:id="44"/>
    <w:p>
      <w:pPr>
        <w:spacing w:after="0"/>
        <w:ind w:left="0"/>
        <w:jc w:val="both"/>
      </w:pPr>
      <w:r>
        <w:rPr>
          <w:rFonts w:ascii="Times New Roman"/>
          <w:b w:val="false"/>
          <w:i w:val="false"/>
          <w:color w:val="000000"/>
          <w:sz w:val="28"/>
        </w:rPr>
        <w:t xml:space="preserve">
      Требуется определить компоненты вектора перемещений в узловых точках конечно-элементной сетки под действием веса автомобиля, передаваемого через одно колесо и приложенного в виде вертикальных нагрузок в соответствующих  узлах (рисунок 4). </w:t>
      </w:r>
    </w:p>
    <w:bookmarkEnd w:id="44"/>
    <w:bookmarkStart w:name="z5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60452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L и H – ширина и высота исследуемой области соответственно; P – нагрузка от колеса транспортного средства; u</w:t>
      </w:r>
      <w:r>
        <w:rPr>
          <w:rFonts w:ascii="Times New Roman"/>
          <w:b w:val="false"/>
          <w:i w:val="false"/>
          <w:color w:val="000000"/>
          <w:vertAlign w:val="subscript"/>
        </w:rPr>
        <w:t>i</w:t>
      </w:r>
      <w:r>
        <w:rPr>
          <w:rFonts w:ascii="Times New Roman"/>
          <w:b w:val="false"/>
          <w:i w:val="false"/>
          <w:color w:val="000000"/>
          <w:sz w:val="28"/>
        </w:rPr>
        <w:t>, v</w:t>
      </w:r>
      <w:r>
        <w:rPr>
          <w:rFonts w:ascii="Times New Roman"/>
          <w:b w:val="false"/>
          <w:i w:val="false"/>
          <w:color w:val="000000"/>
          <w:vertAlign w:val="subscript"/>
        </w:rPr>
        <w:t xml:space="preserve">i </w:t>
      </w:r>
      <w:r>
        <w:rPr>
          <w:rFonts w:ascii="Times New Roman"/>
          <w:b w:val="false"/>
          <w:i w:val="false"/>
          <w:color w:val="000000"/>
          <w:sz w:val="28"/>
        </w:rPr>
        <w:t>– компоненты перемещения точек на границах в направлении координатных осей x и y; I – VI конструктивные слои дорожной одежды и грунтового основания</w:t>
      </w:r>
    </w:p>
    <w:bookmarkEnd w:id="46"/>
    <w:bookmarkStart w:name="z54"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Расчет</w:t>
      </w:r>
      <w:r>
        <w:rPr>
          <w:rFonts w:ascii="Times New Roman"/>
          <w:b/>
          <w:i w:val="false"/>
          <w:color w:val="000000"/>
          <w:sz w:val="28"/>
        </w:rPr>
        <w:t>ная схема задачи</w:t>
      </w:r>
    </w:p>
    <w:bookmarkEnd w:id="47"/>
    <w:bookmarkStart w:name="z55" w:id="48"/>
    <w:p>
      <w:pPr>
        <w:spacing w:after="0"/>
        <w:ind w:left="0"/>
        <w:jc w:val="left"/>
      </w:pPr>
      <w:r>
        <w:rPr>
          <w:rFonts w:ascii="Times New Roman"/>
          <w:b/>
          <w:i w:val="false"/>
          <w:color w:val="000000"/>
        </w:rPr>
        <w:t xml:space="preserve"> 4.2 Формирование массивов координат</w:t>
      </w:r>
    </w:p>
    <w:bookmarkEnd w:id="48"/>
    <w:bookmarkStart w:name="z56" w:id="49"/>
    <w:p>
      <w:pPr>
        <w:spacing w:after="0"/>
        <w:ind w:left="0"/>
        <w:jc w:val="both"/>
      </w:pPr>
      <w:r>
        <w:rPr>
          <w:rFonts w:ascii="Times New Roman"/>
          <w:b w:val="false"/>
          <w:i w:val="false"/>
          <w:color w:val="000000"/>
          <w:sz w:val="28"/>
        </w:rPr>
        <w:t xml:space="preserve">
      В программе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заданы массивы dx и dy, содержащие значения шагов по координатам. Наличие таких массивов позволяет задавать переменные шаги по координатам (строки 44-63 приложения А).</w:t>
      </w:r>
    </w:p>
    <w:bookmarkEnd w:id="49"/>
    <w:bookmarkStart w:name="z57" w:id="50"/>
    <w:p>
      <w:pPr>
        <w:spacing w:after="0"/>
        <w:ind w:left="0"/>
        <w:jc w:val="both"/>
      </w:pPr>
      <w:r>
        <w:rPr>
          <w:rFonts w:ascii="Times New Roman"/>
          <w:b w:val="false"/>
          <w:i w:val="false"/>
          <w:color w:val="000000"/>
          <w:sz w:val="28"/>
        </w:rPr>
        <w:t xml:space="preserve">
      В блоке формирования координат программы (строки 68-91 приложения А) глобальные номера узлов текущего конечного элемента обозначены через n1, n2, …, n8, соответствующие локальным номерам 1,2, …, 8, приведенным на рисунке 2. Конкретные значения глобальных номеров узлов, вычисляемые по алгоритмам вычисления n1, n2, …, n8 в программе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 xml:space="preserve">определяются номером элемента в текущем горизонтальном ряде узлов (m=1:egor) и номером элемента в текущем вертикальном ряде узлов (n=1:ever). </w:t>
      </w:r>
    </w:p>
    <w:bookmarkEnd w:id="50"/>
    <w:bookmarkStart w:name="z58" w:id="51"/>
    <w:p>
      <w:pPr>
        <w:spacing w:after="0"/>
        <w:ind w:left="0"/>
        <w:jc w:val="left"/>
      </w:pPr>
      <w:r>
        <w:rPr>
          <w:rFonts w:ascii="Times New Roman"/>
          <w:b/>
          <w:i w:val="false"/>
          <w:color w:val="000000"/>
        </w:rPr>
        <w:t xml:space="preserve"> 4.3 Граничные условия </w:t>
      </w:r>
    </w:p>
    <w:bookmarkEnd w:id="51"/>
    <w:bookmarkStart w:name="z59" w:id="52"/>
    <w:p>
      <w:pPr>
        <w:spacing w:after="0"/>
        <w:ind w:left="0"/>
        <w:jc w:val="both"/>
      </w:pPr>
      <w:r>
        <w:rPr>
          <w:rFonts w:ascii="Times New Roman"/>
          <w:b w:val="false"/>
          <w:i w:val="false"/>
          <w:color w:val="000000"/>
          <w:sz w:val="28"/>
        </w:rPr>
        <w:t>
      Из рисунка 4 видно, что граничные условия в перемещениях по бокам и на нижней границе исследуемой области задаются в виде нулевых значений соответствующих компонентов вектора перемещений (u=0 и u=v=0). Чтобы задавать граничные условия в виде известных перемещений некоторых узлов также нужно создать специальный массив Mz, содержащий номера узлов задаваемых известных перемещений (строки 23-43 приложения А).</w:t>
      </w:r>
    </w:p>
    <w:bookmarkEnd w:id="52"/>
    <w:bookmarkStart w:name="z60" w:id="53"/>
    <w:p>
      <w:pPr>
        <w:spacing w:after="0"/>
        <w:ind w:left="0"/>
        <w:jc w:val="both"/>
      </w:pPr>
      <w:r>
        <w:rPr>
          <w:rFonts w:ascii="Times New Roman"/>
          <w:b w:val="false"/>
          <w:i w:val="false"/>
          <w:color w:val="000000"/>
          <w:sz w:val="28"/>
        </w:rPr>
        <w:t>
      Граничные условия в нагрузках задаются в виде сосредоточенных вертикальных усилий, рассчитанных от веса автомобиля, приходящегося на одно колесо. Методика расчета граничных условий в нагрузках приведена в приложении А (строки 112-166). Конечный результат расчета представляет собой вектор правой части  уравнения равновесия системы (1).</w:t>
      </w:r>
    </w:p>
    <w:bookmarkEnd w:id="53"/>
    <w:bookmarkStart w:name="z61" w:id="54"/>
    <w:p>
      <w:pPr>
        <w:spacing w:after="0"/>
        <w:ind w:left="0"/>
        <w:jc w:val="left"/>
      </w:pPr>
      <w:r>
        <w:rPr>
          <w:rFonts w:ascii="Times New Roman"/>
          <w:b/>
          <w:i w:val="false"/>
          <w:color w:val="000000"/>
        </w:rPr>
        <w:t xml:space="preserve"> 4.4 Определяющие соотношения уравнения равновесия</w:t>
      </w:r>
    </w:p>
    <w:bookmarkEnd w:id="54"/>
    <w:bookmarkStart w:name="z62" w:id="55"/>
    <w:p>
      <w:pPr>
        <w:spacing w:after="0"/>
        <w:ind w:left="0"/>
        <w:jc w:val="both"/>
      </w:pPr>
      <w:r>
        <w:rPr>
          <w:rFonts w:ascii="Times New Roman"/>
          <w:b w:val="false"/>
          <w:i w:val="false"/>
          <w:color w:val="000000"/>
          <w:sz w:val="28"/>
        </w:rPr>
        <w:t>
      Уравнение равновесия системы в случае применения квадратичных элементов, как и в случае линейных треугольных конечных элементов, в матричной форме имеет вид [7]:</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w:t>
      </w:r>
    </w:p>
    <w:bookmarkStart w:name="z64" w:id="56"/>
    <w:p>
      <w:pPr>
        <w:spacing w:after="0"/>
        <w:ind w:left="0"/>
        <w:jc w:val="both"/>
      </w:pPr>
      <w:r>
        <w:rPr>
          <w:rFonts w:ascii="Times New Roman"/>
          <w:b w:val="false"/>
          <w:i w:val="false"/>
          <w:color w:val="000000"/>
          <w:sz w:val="28"/>
        </w:rPr>
        <w:t xml:space="preserve">
      где [K] – матрица жесткости системы размерности (2*np,2*np);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вектор узловых перемещений размерности 2*np;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вектор узловых нагрузок размерности 2*np; </w:t>
      </w:r>
    </w:p>
    <w:bookmarkStart w:name="z67" w:id="57"/>
    <w:p>
      <w:pPr>
        <w:spacing w:after="0"/>
        <w:ind w:left="0"/>
        <w:jc w:val="both"/>
      </w:pPr>
      <w:r>
        <w:rPr>
          <w:rFonts w:ascii="Times New Roman"/>
          <w:b w:val="false"/>
          <w:i w:val="false"/>
          <w:color w:val="000000"/>
          <w:sz w:val="28"/>
        </w:rPr>
        <w:t>
      np – общее число узлов в конечно-элементной сетке.</w:t>
      </w:r>
    </w:p>
    <w:bookmarkEnd w:id="57"/>
    <w:bookmarkStart w:name="z68" w:id="58"/>
    <w:p>
      <w:pPr>
        <w:spacing w:after="0"/>
        <w:ind w:left="0"/>
        <w:jc w:val="both"/>
      </w:pPr>
      <w:r>
        <w:rPr>
          <w:rFonts w:ascii="Times New Roman"/>
          <w:b w:val="false"/>
          <w:i w:val="false"/>
          <w:color w:val="000000"/>
          <w:sz w:val="28"/>
        </w:rPr>
        <w:t>
      Порядок вычисления значений компонентов вектора , соответствующие граничным условиям в нагрузках приведены в строках 150-165приложения А. Остальные компоненты этого вектора, в силу условий равновесия узлов, равны нулю.</w:t>
      </w:r>
    </w:p>
    <w:bookmarkEnd w:id="58"/>
    <w:bookmarkStart w:name="z69" w:id="59"/>
    <w:p>
      <w:pPr>
        <w:spacing w:after="0"/>
        <w:ind w:left="0"/>
        <w:jc w:val="both"/>
      </w:pPr>
      <w:r>
        <w:rPr>
          <w:rFonts w:ascii="Times New Roman"/>
          <w:b w:val="false"/>
          <w:i w:val="false"/>
          <w:color w:val="000000"/>
          <w:sz w:val="28"/>
        </w:rPr>
        <w:t>
      В уравнении (1) матрица жесткости системы определяется в виде суммы</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где  – общее число элементов в конечно-элементной сетке;  – матрица жесткости текущего элемента "".</w:t>
      </w:r>
    </w:p>
    <w:bookmarkEnd w:id="60"/>
    <w:bookmarkStart w:name="z72" w:id="61"/>
    <w:p>
      <w:pPr>
        <w:spacing w:after="0"/>
        <w:ind w:left="0"/>
        <w:jc w:val="both"/>
      </w:pPr>
      <w:r>
        <w:rPr>
          <w:rFonts w:ascii="Times New Roman"/>
          <w:b w:val="false"/>
          <w:i w:val="false"/>
          <w:color w:val="000000"/>
          <w:sz w:val="28"/>
        </w:rPr>
        <w:t>
      Матрица жесткости элемента вычисляется с помощью объемного интеграла (2):</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bookmarkStart w:name="z74" w:id="62"/>
    <w:p>
      <w:pPr>
        <w:spacing w:after="0"/>
        <w:ind w:left="0"/>
        <w:jc w:val="both"/>
      </w:pPr>
      <w:r>
        <w:rPr>
          <w:rFonts w:ascii="Times New Roman"/>
          <w:b w:val="false"/>
          <w:i w:val="false"/>
          <w:color w:val="000000"/>
          <w:sz w:val="28"/>
        </w:rPr>
        <w:t>
      где алгоритм вычисления матрицы упругости приведены в строках 204-207 приложения А.</w:t>
      </w:r>
    </w:p>
    <w:bookmarkEnd w:id="62"/>
    <w:bookmarkStart w:name="z75" w:id="63"/>
    <w:p>
      <w:pPr>
        <w:spacing w:after="0"/>
        <w:ind w:left="0"/>
        <w:jc w:val="both"/>
      </w:pPr>
      <w:r>
        <w:rPr>
          <w:rFonts w:ascii="Times New Roman"/>
          <w:b w:val="false"/>
          <w:i w:val="false"/>
          <w:color w:val="000000"/>
          <w:sz w:val="28"/>
        </w:rPr>
        <w:t xml:space="preserve">
      В выражении (2) так называемая матрица градиентов  формируется путем дифференцирования функций формы  по координатам . </w:t>
      </w:r>
    </w:p>
    <w:bookmarkEnd w:id="63"/>
    <w:bookmarkStart w:name="z76" w:id="64"/>
    <w:p>
      <w:pPr>
        <w:spacing w:after="0"/>
        <w:ind w:left="0"/>
        <w:jc w:val="both"/>
      </w:pPr>
      <w:r>
        <w:rPr>
          <w:rFonts w:ascii="Times New Roman"/>
          <w:b w:val="false"/>
          <w:i w:val="false"/>
          <w:color w:val="000000"/>
          <w:sz w:val="28"/>
        </w:rPr>
        <w:t xml:space="preserve">
      В случае нелинейной зависимости функций формы от координат , что имеет место в случае квадратичных элементов с восемью узлами, производные от функций формы по координатам сами являются функциями координат , и вычисление интеграла  представляет собой самостоятельную задачу с громоздкими математическими выкладками. </w:t>
      </w:r>
    </w:p>
    <w:bookmarkEnd w:id="64"/>
    <w:bookmarkStart w:name="z77" w:id="65"/>
    <w:p>
      <w:pPr>
        <w:spacing w:after="0"/>
        <w:ind w:left="0"/>
        <w:jc w:val="left"/>
      </w:pPr>
      <w:r>
        <w:rPr>
          <w:rFonts w:ascii="Times New Roman"/>
          <w:b/>
          <w:i w:val="false"/>
          <w:color w:val="000000"/>
        </w:rPr>
        <w:t xml:space="preserve"> 4.5 Вычисление матрицы градиентов четырехугольного элемента с восемью узлами</w:t>
      </w:r>
    </w:p>
    <w:bookmarkEnd w:id="65"/>
    <w:bookmarkStart w:name="z78" w:id="66"/>
    <w:p>
      <w:pPr>
        <w:spacing w:after="0"/>
        <w:ind w:left="0"/>
        <w:jc w:val="both"/>
      </w:pPr>
      <w:r>
        <w:rPr>
          <w:rFonts w:ascii="Times New Roman"/>
          <w:b w:val="false"/>
          <w:i w:val="false"/>
          <w:color w:val="000000"/>
          <w:sz w:val="28"/>
        </w:rPr>
        <w:t>
      Для численного интегрирования объемного интеграла в соотношении (2) предлагается [7] переходить к локальной системе координат (рисунок 5). Здесь замену переменных интегрирования можно сделать с помощью соотношения (3):</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w:t>
      </w:r>
    </w:p>
    <w:bookmarkStart w:name="z80" w:id="67"/>
    <w:p>
      <w:pPr>
        <w:spacing w:after="0"/>
        <w:ind w:left="0"/>
        <w:jc w:val="both"/>
      </w:pPr>
      <w:r>
        <w:rPr>
          <w:rFonts w:ascii="Times New Roman"/>
          <w:b w:val="false"/>
          <w:i w:val="false"/>
          <w:color w:val="000000"/>
          <w:sz w:val="28"/>
        </w:rPr>
        <w:t>
      где – единичная толщина элемента, а  – определитель матрицы преобразования координат Якоби. Тогда объемный интеграл в (2) приводится к виду (4):</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w:t>
      </w:r>
    </w:p>
    <w:bookmarkStart w:name="z82" w:id="68"/>
    <w:p>
      <w:pPr>
        <w:spacing w:after="0"/>
        <w:ind w:left="0"/>
        <w:jc w:val="both"/>
      </w:pPr>
      <w:r>
        <w:rPr>
          <w:rFonts w:ascii="Times New Roman"/>
          <w:b w:val="false"/>
          <w:i w:val="false"/>
          <w:color w:val="000000"/>
          <w:sz w:val="28"/>
        </w:rPr>
        <w:t xml:space="preserve">
      Переход к переменным интегрирования  и  упрощает пределы интегрирования, что позволяет разработать единый алгоритм вычисления интегралов  через квадратуру Гаусса-Лежандра. </w:t>
      </w:r>
    </w:p>
    <w:bookmarkEnd w:id="68"/>
    <w:bookmarkStart w:name="z8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3441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Система координат </w:t>
      </w:r>
      <w:r>
        <w:rPr>
          <w:rFonts w:ascii="Times New Roman"/>
          <w:b/>
          <w:i w:val="false"/>
          <w:color w:val="000000"/>
          <w:sz w:val="28"/>
        </w:rPr>
        <w:t xml:space="preserve"> для линейного прямоугольного элемента</w:t>
      </w:r>
    </w:p>
    <w:bookmarkEnd w:id="70"/>
    <w:bookmarkStart w:name="z85" w:id="71"/>
    <w:p>
      <w:pPr>
        <w:spacing w:after="0"/>
        <w:ind w:left="0"/>
        <w:jc w:val="left"/>
      </w:pPr>
      <w:r>
        <w:rPr>
          <w:rFonts w:ascii="Times New Roman"/>
          <w:b/>
          <w:i w:val="false"/>
          <w:color w:val="000000"/>
        </w:rPr>
        <w:t xml:space="preserve"> 4.6 Алгоритм определения деформации и напряжений </w:t>
      </w:r>
    </w:p>
    <w:bookmarkEnd w:id="71"/>
    <w:bookmarkStart w:name="z86" w:id="72"/>
    <w:p>
      <w:pPr>
        <w:spacing w:after="0"/>
        <w:ind w:left="0"/>
        <w:jc w:val="both"/>
      </w:pPr>
      <w:r>
        <w:rPr>
          <w:rFonts w:ascii="Times New Roman"/>
          <w:b w:val="false"/>
          <w:i w:val="false"/>
          <w:color w:val="000000"/>
          <w:sz w:val="28"/>
        </w:rPr>
        <w:t>
      Выражение перепишем в следующем виде (5):</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w:t>
      </w:r>
    </w:p>
    <w:bookmarkStart w:name="z88" w:id="73"/>
    <w:p>
      <w:pPr>
        <w:spacing w:after="0"/>
        <w:ind w:left="0"/>
        <w:jc w:val="both"/>
      </w:pPr>
      <w:r>
        <w:rPr>
          <w:rFonts w:ascii="Times New Roman"/>
          <w:b w:val="false"/>
          <w:i w:val="false"/>
          <w:color w:val="000000"/>
          <w:sz w:val="28"/>
        </w:rPr>
        <w:t xml:space="preserve">
      где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bookmarkStart w:name="z95" w:id="74"/>
    <w:p>
      <w:pPr>
        <w:spacing w:after="0"/>
        <w:ind w:left="0"/>
        <w:jc w:val="both"/>
      </w:pPr>
      <w:r>
        <w:rPr>
          <w:rFonts w:ascii="Times New Roman"/>
          <w:b w:val="false"/>
          <w:i w:val="false"/>
          <w:color w:val="000000"/>
          <w:sz w:val="28"/>
        </w:rPr>
        <w:t xml:space="preserve">
      Теперь из выражения (5) компоненту  тензора деформации определим следующим образом: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w:t>
      </w:r>
    </w:p>
    <w:bookmarkStart w:name="z97" w:id="75"/>
    <w:p>
      <w:pPr>
        <w:spacing w:after="0"/>
        <w:ind w:left="0"/>
        <w:jc w:val="both"/>
      </w:pPr>
      <w:r>
        <w:rPr>
          <w:rFonts w:ascii="Times New Roman"/>
          <w:b w:val="false"/>
          <w:i w:val="false"/>
          <w:color w:val="000000"/>
          <w:sz w:val="28"/>
        </w:rPr>
        <w:t xml:space="preserve">
      или учитывая равенства (5)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p>
    <w:bookmarkStart w:name="z99" w:id="76"/>
    <w:p>
      <w:pPr>
        <w:spacing w:after="0"/>
        <w:ind w:left="0"/>
        <w:jc w:val="both"/>
      </w:pPr>
      <w:r>
        <w:rPr>
          <w:rFonts w:ascii="Times New Roman"/>
          <w:b w:val="false"/>
          <w:i w:val="false"/>
          <w:color w:val="000000"/>
          <w:sz w:val="28"/>
        </w:rPr>
        <w:t xml:space="preserve">
      В выражении (8) координаты  и  относятся к линейному прямоугольнику (рисунок 5), и им при рассмотрении восьмиугольных прямоугольников будут соответствовать  и . </w:t>
      </w:r>
    </w:p>
    <w:bookmarkEnd w:id="76"/>
    <w:bookmarkStart w:name="z100" w:id="77"/>
    <w:p>
      <w:pPr>
        <w:spacing w:after="0"/>
        <w:ind w:left="0"/>
        <w:jc w:val="both"/>
      </w:pPr>
      <w:r>
        <w:rPr>
          <w:rFonts w:ascii="Times New Roman"/>
          <w:b w:val="false"/>
          <w:i w:val="false"/>
          <w:color w:val="000000"/>
          <w:sz w:val="28"/>
        </w:rPr>
        <w:t>
      Аналогично определяются и остальные компоненты тензора деформации. Из формулы (5) для компоненты  имеем:</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78"/>
    <w:p>
      <w:pPr>
        <w:spacing w:after="0"/>
        <w:ind w:left="0"/>
        <w:jc w:val="both"/>
      </w:pPr>
      <w:r>
        <w:rPr>
          <w:rFonts w:ascii="Times New Roman"/>
          <w:b w:val="false"/>
          <w:i w:val="false"/>
          <w:color w:val="000000"/>
          <w:sz w:val="28"/>
        </w:rPr>
        <w:t>
      или, учитывая (4) и , получим: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w:t>
      </w:r>
    </w:p>
    <w:bookmarkStart w:name="z104" w:id="79"/>
    <w:p>
      <w:pPr>
        <w:spacing w:after="0"/>
        <w:ind w:left="0"/>
        <w:jc w:val="both"/>
      </w:pPr>
      <w:r>
        <w:rPr>
          <w:rFonts w:ascii="Times New Roman"/>
          <w:b w:val="false"/>
          <w:i w:val="false"/>
          <w:color w:val="000000"/>
          <w:sz w:val="28"/>
        </w:rPr>
        <w:t>
      Деформация сдвига  определяется аналогичным образом.</w:t>
      </w:r>
    </w:p>
    <w:bookmarkEnd w:id="79"/>
    <w:bookmarkStart w:name="z105" w:id="80"/>
    <w:p>
      <w:pPr>
        <w:spacing w:after="0"/>
        <w:ind w:left="0"/>
        <w:jc w:val="both"/>
      </w:pPr>
      <w:r>
        <w:rPr>
          <w:rFonts w:ascii="Times New Roman"/>
          <w:b w:val="false"/>
          <w:i w:val="false"/>
          <w:color w:val="000000"/>
          <w:sz w:val="28"/>
        </w:rPr>
        <w:t>
      Для определения компонентов напряжений воспользуемся формулами вычисления напряжений [7]:</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и , (10)</w:t>
      </w:r>
    </w:p>
    <w:bookmarkStart w:name="z107" w:id="81"/>
    <w:p>
      <w:pPr>
        <w:spacing w:after="0"/>
        <w:ind w:left="0"/>
        <w:jc w:val="both"/>
      </w:pPr>
      <w:r>
        <w:rPr>
          <w:rFonts w:ascii="Times New Roman"/>
          <w:b w:val="false"/>
          <w:i w:val="false"/>
          <w:color w:val="000000"/>
          <w:sz w:val="28"/>
        </w:rPr>
        <w:t>
      где, для плоской деформации ;</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модуль упругости;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 Пуассона.</w:t>
      </w:r>
    </w:p>
    <w:bookmarkStart w:name="z110" w:id="82"/>
    <w:p>
      <w:pPr>
        <w:spacing w:after="0"/>
        <w:ind w:left="0"/>
        <w:jc w:val="both"/>
      </w:pPr>
      <w:r>
        <w:rPr>
          <w:rFonts w:ascii="Times New Roman"/>
          <w:b w:val="false"/>
          <w:i w:val="false"/>
          <w:color w:val="000000"/>
          <w:sz w:val="28"/>
        </w:rPr>
        <w:t>
      Программа численной реализации приведенного алгоритма вычисления компонентов вектора деформации и вектора напряжений приведена в строках 412-527 приложения А настоящего документа. Кроме этого, в приложении А предусмотрены фрагменты программ построения графиков горизонтальных перемещений точек характерных вертикальных сечений (строки 297-312 приложения А), вертикальных перемещений точек горизонтальных сечений, расположенных на различных глубинах (строки 316-408 приложения А) и значений компонент векторов деформаций и напряжений (строки 441-475, 529-602 приложения А).</w:t>
      </w:r>
    </w:p>
    <w:bookmarkEnd w:id="82"/>
    <w:bookmarkStart w:name="z111" w:id="83"/>
    <w:p>
      <w:pPr>
        <w:spacing w:after="0"/>
        <w:ind w:left="0"/>
        <w:jc w:val="left"/>
      </w:pPr>
      <w:r>
        <w:rPr>
          <w:rFonts w:ascii="Times New Roman"/>
          <w:b/>
          <w:i w:val="false"/>
          <w:color w:val="000000"/>
        </w:rPr>
        <w:t xml:space="preserve"> 4.7 Краткая инструкция по использованию программы </w:t>
      </w:r>
    </w:p>
    <w:bookmarkEnd w:id="83"/>
    <w:bookmarkStart w:name="z112" w:id="84"/>
    <w:p>
      <w:pPr>
        <w:spacing w:after="0"/>
        <w:ind w:left="0"/>
        <w:jc w:val="both"/>
      </w:pPr>
      <w:r>
        <w:rPr>
          <w:rFonts w:ascii="Times New Roman"/>
          <w:b w:val="false"/>
          <w:i w:val="false"/>
          <w:color w:val="000000"/>
          <w:sz w:val="28"/>
        </w:rPr>
        <w:t xml:space="preserve">
      </w:t>
      </w:r>
      <w:r>
        <w:rPr>
          <w:rFonts w:ascii="Times New Roman"/>
          <w:b/>
          <w:i w:val="false"/>
          <w:color w:val="000000"/>
          <w:sz w:val="28"/>
        </w:rPr>
        <w:t>BASIC_NDS_MKE_8_uzlov</w:t>
      </w:r>
    </w:p>
    <w:bookmarkEnd w:id="84"/>
    <w:bookmarkStart w:name="z113" w:id="85"/>
    <w:p>
      <w:pPr>
        <w:spacing w:after="0"/>
        <w:ind w:left="0"/>
        <w:jc w:val="both"/>
      </w:pPr>
      <w:r>
        <w:rPr>
          <w:rFonts w:ascii="Times New Roman"/>
          <w:b w:val="false"/>
          <w:i w:val="false"/>
          <w:color w:val="000000"/>
          <w:sz w:val="28"/>
        </w:rPr>
        <w:t xml:space="preserve">
      Целью создания настоящего нормативного документа является разработка расчетной программы на языке MATLAB. </w:t>
      </w:r>
    </w:p>
    <w:bookmarkEnd w:id="85"/>
    <w:bookmarkStart w:name="z114" w:id="86"/>
    <w:p>
      <w:pPr>
        <w:spacing w:after="0"/>
        <w:ind w:left="0"/>
        <w:jc w:val="both"/>
      </w:pPr>
      <w:r>
        <w:rPr>
          <w:rFonts w:ascii="Times New Roman"/>
          <w:b w:val="false"/>
          <w:i w:val="false"/>
          <w:color w:val="000000"/>
          <w:sz w:val="28"/>
        </w:rPr>
        <w:t>
      Расчетная программа предназначена для вычисления значений компонентов перемещений, деформаций и напряжений в точках исследуемой дорожной конструкции (рисунок 4).</w:t>
      </w:r>
    </w:p>
    <w:bookmarkEnd w:id="86"/>
    <w:bookmarkStart w:name="z115" w:id="87"/>
    <w:p>
      <w:pPr>
        <w:spacing w:after="0"/>
        <w:ind w:left="0"/>
        <w:jc w:val="both"/>
      </w:pPr>
      <w:r>
        <w:rPr>
          <w:rFonts w:ascii="Times New Roman"/>
          <w:b w:val="false"/>
          <w:i w:val="false"/>
          <w:color w:val="000000"/>
          <w:sz w:val="28"/>
        </w:rPr>
        <w:t>
      В мировой практике существуют и другие пакеты программ, способных решать задачу о напряженно-деформированном состоянии в твердом деформируемом теле. Наиболее известным среди них является программный комплекс ANSYS. Однако, все они являются коммерческими, алгоритм их реализации скрытый, и простому пользователю использовать их для расчетов своих задач, тем более их видоизменить просто невозможно. Настоящий программный продукт BASIC_NDS_MKE_8_uzlovявляется открытым, алгоритм его реализации расписан открытым текстом, программа легко адаптируется и всегда есть возможность ее усовершенствовать. Например, ее можно дополнить отдельными блоками и решить задачи об условиях образования низкотемпературных трещин в дорожном покрытии, усталостных трещин в конструктивных слоях дорожной одежды.</w:t>
      </w:r>
    </w:p>
    <w:bookmarkEnd w:id="87"/>
    <w:bookmarkStart w:name="z116" w:id="88"/>
    <w:p>
      <w:pPr>
        <w:spacing w:after="0"/>
        <w:ind w:left="0"/>
        <w:jc w:val="both"/>
      </w:pPr>
      <w:r>
        <w:rPr>
          <w:rFonts w:ascii="Times New Roman"/>
          <w:b w:val="false"/>
          <w:i w:val="false"/>
          <w:color w:val="000000"/>
          <w:sz w:val="28"/>
        </w:rPr>
        <w:t>
      Для запуска программы BASIC_NDS_MKE_8_uzlovдля решения конкретной задачи,в первую очередь необходимо, чтобы в компьютере была установлена одна из версии программного комплекса MATLAB,и в директорию этого комплекса был внесен текст (листинг) программы BASIC_NDS_MKE_8_uzlov. На рабочий стол компьютера выносится ярлык программного комплекса MATLAB (рисунок 6).</w:t>
      </w:r>
    </w:p>
    <w:bookmarkEnd w:id="88"/>
    <w:bookmarkStart w:name="z117"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6</w:t>
      </w:r>
      <w:r>
        <w:rPr>
          <w:rFonts w:ascii="Times New Roman"/>
          <w:b/>
          <w:i w:val="false"/>
          <w:color w:val="000000"/>
          <w:sz w:val="28"/>
        </w:rPr>
        <w:t xml:space="preserve"> – Ярлык программного комплекса </w:t>
      </w:r>
      <w:r>
        <w:rPr>
          <w:rFonts w:ascii="Times New Roman"/>
          <w:b/>
          <w:i w:val="false"/>
          <w:color w:val="000000"/>
          <w:sz w:val="28"/>
        </w:rPr>
        <w:t>MATLAB</w:t>
      </w:r>
    </w:p>
    <w:bookmarkEnd w:id="90"/>
    <w:bookmarkStart w:name="z119" w:id="91"/>
    <w:p>
      <w:pPr>
        <w:spacing w:after="0"/>
        <w:ind w:left="0"/>
        <w:jc w:val="both"/>
      </w:pPr>
      <w:r>
        <w:rPr>
          <w:rFonts w:ascii="Times New Roman"/>
          <w:b w:val="false"/>
          <w:i w:val="false"/>
          <w:color w:val="000000"/>
          <w:sz w:val="28"/>
        </w:rPr>
        <w:t xml:space="preserve">
      В приложении А настоящего документа приведен исходный код программы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 xml:space="preserve">. Для облегчения обращения к тексту листинг снабжен построчной нумерацией, которую нужно удалить перед установкой программы в директорию программного комплекса MATLAB. </w:t>
      </w:r>
    </w:p>
    <w:bookmarkEnd w:id="91"/>
    <w:bookmarkStart w:name="z120" w:id="92"/>
    <w:p>
      <w:pPr>
        <w:spacing w:after="0"/>
        <w:ind w:left="0"/>
        <w:jc w:val="both"/>
      </w:pPr>
      <w:r>
        <w:rPr>
          <w:rFonts w:ascii="Times New Roman"/>
          <w:b w:val="false"/>
          <w:i w:val="false"/>
          <w:color w:val="000000"/>
          <w:sz w:val="28"/>
        </w:rPr>
        <w:t>
      Вызов программного комплекса MATLAB для расчетов осуществляется двойным щелчком на ярлыке (рисунок 6).</w:t>
      </w:r>
    </w:p>
    <w:bookmarkEnd w:id="92"/>
    <w:bookmarkStart w:name="z121" w:id="93"/>
    <w:p>
      <w:pPr>
        <w:spacing w:after="0"/>
        <w:ind w:left="0"/>
        <w:jc w:val="both"/>
      </w:pPr>
      <w:r>
        <w:rPr>
          <w:rFonts w:ascii="Times New Roman"/>
          <w:b w:val="false"/>
          <w:i w:val="false"/>
          <w:color w:val="000000"/>
          <w:sz w:val="28"/>
        </w:rPr>
        <w:t>
      На рабочем столе появится главная страница MATLAB (рисунок 7).</w:t>
      </w:r>
    </w:p>
    <w:bookmarkEnd w:id="93"/>
    <w:bookmarkStart w:name="z12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7</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Вид главной страницы программы на</w:t>
      </w:r>
      <w:r>
        <w:rPr>
          <w:rFonts w:ascii="Times New Roman"/>
          <w:b/>
          <w:i w:val="false"/>
          <w:color w:val="000000"/>
          <w:sz w:val="28"/>
        </w:rPr>
        <w:t>MATLAB</w:t>
      </w:r>
    </w:p>
    <w:bookmarkEnd w:id="95"/>
    <w:bookmarkStart w:name="z124" w:id="96"/>
    <w:p>
      <w:pPr>
        <w:spacing w:after="0"/>
        <w:ind w:left="0"/>
        <w:jc w:val="both"/>
      </w:pPr>
      <w:r>
        <w:rPr>
          <w:rFonts w:ascii="Times New Roman"/>
          <w:b w:val="false"/>
          <w:i w:val="false"/>
          <w:color w:val="000000"/>
          <w:sz w:val="28"/>
        </w:rPr>
        <w:t xml:space="preserve">
      На рисунке 7 на главной странице MATLAB приведен фрагмент программы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i w:val="false"/>
          <w:color w:val="000000"/>
          <w:sz w:val="28"/>
        </w:rPr>
        <w:t xml:space="preserve">. </w:t>
      </w:r>
      <w:r>
        <w:rPr>
          <w:rFonts w:ascii="Times New Roman"/>
          <w:b w:val="false"/>
          <w:i w:val="false"/>
          <w:color w:val="000000"/>
          <w:sz w:val="28"/>
        </w:rPr>
        <w:t xml:space="preserve">Если же этот фрагмент будет отсутствовать, а на главной странице присутствует фрагмент другой программы, то поиск необходимой программы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 xml:space="preserve"> будет произведен простым нажатием на кнопку </w:t>
      </w:r>
      <w:r>
        <w:rPr>
          <w:rFonts w:ascii="Times New Roman"/>
          <w:b/>
          <w:i w:val="false"/>
          <w:color w:val="000000"/>
          <w:sz w:val="28"/>
        </w:rPr>
        <w:t>OPEN</w:t>
      </w:r>
      <w:r>
        <w:rPr>
          <w:rFonts w:ascii="Times New Roman"/>
          <w:b/>
          <w:i w:val="false"/>
          <w:color w:val="000000"/>
          <w:sz w:val="28"/>
        </w:rPr>
        <w:t xml:space="preserve">, </w:t>
      </w:r>
      <w:r>
        <w:rPr>
          <w:rFonts w:ascii="Times New Roman"/>
          <w:b w:val="false"/>
          <w:i w:val="false"/>
          <w:color w:val="000000"/>
          <w:sz w:val="28"/>
        </w:rPr>
        <w:t xml:space="preserve">расположенной в верхней части главной страницы. После нажатия кнопки </w:t>
      </w:r>
      <w:r>
        <w:rPr>
          <w:rFonts w:ascii="Times New Roman"/>
          <w:b/>
          <w:i w:val="false"/>
          <w:color w:val="000000"/>
          <w:sz w:val="28"/>
        </w:rPr>
        <w:t>OPEN</w:t>
      </w:r>
      <w:r>
        <w:rPr>
          <w:rFonts w:ascii="Times New Roman"/>
          <w:b w:val="false"/>
          <w:i w:val="false"/>
          <w:color w:val="000000"/>
          <w:sz w:val="28"/>
        </w:rPr>
        <w:t xml:space="preserve"> получим список программ, находящихся в директории MATLAB (рисунок 8). </w:t>
      </w:r>
    </w:p>
    <w:bookmarkEnd w:id="96"/>
    <w:bookmarkStart w:name="z12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 xml:space="preserve">8 </w:t>
      </w:r>
      <w:r>
        <w:rPr>
          <w:rFonts w:ascii="Times New Roman"/>
          <w:b/>
          <w:i w:val="false"/>
          <w:color w:val="000000"/>
          <w:sz w:val="28"/>
        </w:rPr>
        <w:t>–</w:t>
      </w:r>
      <w:r>
        <w:rPr>
          <w:rFonts w:ascii="Times New Roman"/>
          <w:b/>
          <w:i w:val="false"/>
          <w:color w:val="000000"/>
          <w:sz w:val="28"/>
        </w:rPr>
        <w:t xml:space="preserve"> Вид списка программ в директории</w:t>
      </w:r>
    </w:p>
    <w:bookmarkEnd w:id="98"/>
    <w:bookmarkStart w:name="z127" w:id="99"/>
    <w:p>
      <w:pPr>
        <w:spacing w:after="0"/>
        <w:ind w:left="0"/>
        <w:jc w:val="both"/>
      </w:pPr>
      <w:r>
        <w:rPr>
          <w:rFonts w:ascii="Times New Roman"/>
          <w:b w:val="false"/>
          <w:i w:val="false"/>
          <w:color w:val="000000"/>
          <w:sz w:val="28"/>
        </w:rPr>
        <w:t xml:space="preserve">
      Простым нажатием на название нужной программы </w:t>
      </w:r>
      <w:r>
        <w:rPr>
          <w:rFonts w:ascii="Times New Roman"/>
          <w:b/>
          <w:i w:val="false"/>
          <w:color w:val="000000"/>
          <w:sz w:val="28"/>
        </w:rPr>
        <w:t>BASIC</w:t>
      </w:r>
      <w:r>
        <w:rPr>
          <w:rFonts w:ascii="Times New Roman"/>
          <w:b/>
          <w:i w:val="false"/>
          <w:color w:val="000000"/>
          <w:sz w:val="28"/>
        </w:rPr>
        <w:t>_</w:t>
      </w:r>
      <w:r>
        <w:rPr>
          <w:rFonts w:ascii="Times New Roman"/>
          <w:b/>
          <w:i w:val="false"/>
          <w:color w:val="000000"/>
          <w:sz w:val="28"/>
        </w:rPr>
        <w:t>NDS</w:t>
      </w:r>
      <w:r>
        <w:rPr>
          <w:rFonts w:ascii="Times New Roman"/>
          <w:b/>
          <w:i w:val="false"/>
          <w:color w:val="000000"/>
          <w:sz w:val="28"/>
        </w:rPr>
        <w:t>_</w:t>
      </w:r>
      <w:r>
        <w:rPr>
          <w:rFonts w:ascii="Times New Roman"/>
          <w:b/>
          <w:i w:val="false"/>
          <w:color w:val="000000"/>
          <w:sz w:val="28"/>
        </w:rPr>
        <w:t>MKE</w:t>
      </w:r>
      <w:r>
        <w:rPr>
          <w:rFonts w:ascii="Times New Roman"/>
          <w:b/>
          <w:i w:val="false"/>
          <w:color w:val="000000"/>
          <w:sz w:val="28"/>
        </w:rPr>
        <w:t>_8_</w:t>
      </w:r>
      <w:r>
        <w:rPr>
          <w:rFonts w:ascii="Times New Roman"/>
          <w:b/>
          <w:i w:val="false"/>
          <w:color w:val="000000"/>
          <w:sz w:val="28"/>
        </w:rPr>
        <w:t>uzlov</w:t>
      </w:r>
      <w:r>
        <w:rPr>
          <w:rFonts w:ascii="Times New Roman"/>
          <w:b w:val="false"/>
          <w:i w:val="false"/>
          <w:color w:val="000000"/>
          <w:sz w:val="28"/>
        </w:rPr>
        <w:t xml:space="preserve">из приведенного списка вызывается эта программа на главную страницу (рисунок 7). </w:t>
      </w:r>
    </w:p>
    <w:bookmarkEnd w:id="99"/>
    <w:bookmarkStart w:name="z128"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 xml:space="preserve">9 </w:t>
      </w:r>
      <w:r>
        <w:rPr>
          <w:rFonts w:ascii="Times New Roman"/>
          <w:b/>
          <w:i w:val="false"/>
          <w:color w:val="000000"/>
          <w:sz w:val="28"/>
        </w:rPr>
        <w:t>–</w:t>
      </w:r>
      <w:r>
        <w:rPr>
          <w:rFonts w:ascii="Times New Roman"/>
          <w:b/>
          <w:i w:val="false"/>
          <w:color w:val="000000"/>
          <w:sz w:val="28"/>
        </w:rPr>
        <w:t xml:space="preserve"> Строка 109-110 </w:t>
      </w:r>
      <w:r>
        <w:rPr>
          <w:rFonts w:ascii="Times New Roman"/>
          <w:b/>
          <w:i w:val="false"/>
          <w:color w:val="000000"/>
          <w:sz w:val="28"/>
        </w:rPr>
        <w:t xml:space="preserve">для введения </w:t>
      </w:r>
      <w:r>
        <w:rPr>
          <w:rFonts w:ascii="Times New Roman"/>
          <w:b/>
          <w:i w:val="false"/>
          <w:color w:val="000000"/>
          <w:sz w:val="28"/>
        </w:rPr>
        <w:t>физико-механически</w:t>
      </w:r>
      <w:r>
        <w:rPr>
          <w:rFonts w:ascii="Times New Roman"/>
          <w:b/>
          <w:i w:val="false"/>
          <w:color w:val="000000"/>
          <w:sz w:val="28"/>
        </w:rPr>
        <w:t>х</w:t>
      </w:r>
      <w:r>
        <w:rPr>
          <w:rFonts w:ascii="Times New Roman"/>
          <w:b/>
          <w:i w:val="false"/>
          <w:color w:val="000000"/>
          <w:sz w:val="28"/>
        </w:rPr>
        <w:t xml:space="preserve"> характеристик материалов слоев</w:t>
      </w:r>
    </w:p>
    <w:bookmarkEnd w:id="101"/>
    <w:bookmarkStart w:name="z130" w:id="102"/>
    <w:p>
      <w:pPr>
        <w:spacing w:after="0"/>
        <w:ind w:left="0"/>
        <w:jc w:val="both"/>
      </w:pPr>
      <w:r>
        <w:rPr>
          <w:rFonts w:ascii="Times New Roman"/>
          <w:b w:val="false"/>
          <w:i w:val="false"/>
          <w:color w:val="000000"/>
          <w:sz w:val="28"/>
        </w:rPr>
        <w:t>
      По умолчанию в программе установлены физико-механические характеристики автомобильной дороги.Для изменения их значений данные необходимо ввести в строки 109-110 (рисунок 9). После введения физико-механических характеристик вводим значение прилагаемой вертикальной силы на поверхность в строку 150,а так же вводим номера поверхностных узлов куда необходимо приложить нагрузку (рисунок10).</w:t>
      </w:r>
    </w:p>
    <w:bookmarkEnd w:id="102"/>
    <w:bookmarkStart w:name="z131"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 xml:space="preserve">10 </w:t>
      </w:r>
      <w:r>
        <w:rPr>
          <w:rFonts w:ascii="Times New Roman"/>
          <w:b/>
          <w:i w:val="false"/>
          <w:color w:val="000000"/>
          <w:sz w:val="28"/>
        </w:rPr>
        <w:t>– Строка для введения значения прилагаемой силы на поверхность</w:t>
      </w:r>
      <w:r>
        <w:rPr>
          <w:rFonts w:ascii="Times New Roman"/>
          <w:b/>
          <w:i w:val="false"/>
          <w:color w:val="000000"/>
          <w:sz w:val="28"/>
        </w:rPr>
        <w:t xml:space="preserve"> и номеров узлов приложения сил</w:t>
      </w:r>
    </w:p>
    <w:bookmarkEnd w:id="104"/>
    <w:bookmarkStart w:name="z133" w:id="105"/>
    <w:p>
      <w:pPr>
        <w:spacing w:after="0"/>
        <w:ind w:left="0"/>
        <w:jc w:val="both"/>
      </w:pPr>
      <w:r>
        <w:rPr>
          <w:rFonts w:ascii="Times New Roman"/>
          <w:b w:val="false"/>
          <w:i w:val="false"/>
          <w:color w:val="000000"/>
          <w:sz w:val="28"/>
        </w:rPr>
        <w:t>
      Следующим этапом при решении задачи является получение графических результатов по необходимым для пользователя требованиям. Ниже приведены примеры запроса графиков вертикальных перемещений узлов на разных глубинах (рисунки 11-17).</w:t>
      </w:r>
    </w:p>
    <w:bookmarkEnd w:id="105"/>
    <w:bookmarkStart w:name="z134"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07"/>
    <w:p>
      <w:pPr>
        <w:spacing w:after="0"/>
        <w:ind w:left="0"/>
        <w:jc w:val="both"/>
      </w:pPr>
      <w:r>
        <w:rPr>
          <w:rFonts w:ascii="Times New Roman"/>
          <w:b w:val="false"/>
          <w:i w:val="false"/>
          <w:color w:val="000000"/>
          <w:sz w:val="28"/>
        </w:rPr>
        <w:t>
      Рисунок 11 – Получение графиков вертикальных перемещений узлов на глубине h= 5 см</w:t>
      </w:r>
    </w:p>
    <w:bookmarkEnd w:id="107"/>
    <w:bookmarkStart w:name="z136"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09"/>
    <w:p>
      <w:pPr>
        <w:spacing w:after="0"/>
        <w:ind w:left="0"/>
        <w:jc w:val="both"/>
      </w:pPr>
      <w:r>
        <w:rPr>
          <w:rFonts w:ascii="Times New Roman"/>
          <w:b w:val="false"/>
          <w:i w:val="false"/>
          <w:color w:val="000000"/>
          <w:sz w:val="28"/>
        </w:rPr>
        <w:t xml:space="preserve">
      Рисунок 12 – Получение графиков вертикальных перемещений узлов на глубине h= 15 см </w:t>
      </w:r>
    </w:p>
    <w:bookmarkEnd w:id="109"/>
    <w:bookmarkStart w:name="z138"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11"/>
    <w:p>
      <w:pPr>
        <w:spacing w:after="0"/>
        <w:ind w:left="0"/>
        <w:jc w:val="both"/>
      </w:pPr>
      <w:r>
        <w:rPr>
          <w:rFonts w:ascii="Times New Roman"/>
          <w:b w:val="false"/>
          <w:i w:val="false"/>
          <w:color w:val="000000"/>
          <w:sz w:val="28"/>
        </w:rPr>
        <w:t>
      Рисунок 13 – Получение графиков вертикальных перемещений узлов на глубине h= 25 см</w:t>
      </w:r>
    </w:p>
    <w:bookmarkEnd w:id="111"/>
    <w:bookmarkStart w:name="z140"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13"/>
    <w:p>
      <w:pPr>
        <w:spacing w:after="0"/>
        <w:ind w:left="0"/>
        <w:jc w:val="both"/>
      </w:pPr>
      <w:r>
        <w:rPr>
          <w:rFonts w:ascii="Times New Roman"/>
          <w:b w:val="false"/>
          <w:i w:val="false"/>
          <w:color w:val="000000"/>
          <w:sz w:val="28"/>
        </w:rPr>
        <w:t>
      Рисунок 14 – Получение графиков вертикальных перемещений узлов на глубине h= 45 см</w:t>
      </w:r>
    </w:p>
    <w:bookmarkEnd w:id="113"/>
    <w:bookmarkStart w:name="z14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15"/>
    <w:p>
      <w:pPr>
        <w:spacing w:after="0"/>
        <w:ind w:left="0"/>
        <w:jc w:val="both"/>
      </w:pPr>
      <w:r>
        <w:rPr>
          <w:rFonts w:ascii="Times New Roman"/>
          <w:b w:val="false"/>
          <w:i w:val="false"/>
          <w:color w:val="000000"/>
          <w:sz w:val="28"/>
        </w:rPr>
        <w:t>
      Рисунок 15 – Получение графиков компонент напряжений SigmaX</w:t>
      </w:r>
    </w:p>
    <w:bookmarkEnd w:id="115"/>
    <w:bookmarkStart w:name="z144"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17"/>
    <w:p>
      <w:pPr>
        <w:spacing w:after="0"/>
        <w:ind w:left="0"/>
        <w:jc w:val="both"/>
      </w:pPr>
      <w:r>
        <w:rPr>
          <w:rFonts w:ascii="Times New Roman"/>
          <w:b w:val="false"/>
          <w:i w:val="false"/>
          <w:color w:val="000000"/>
          <w:sz w:val="28"/>
        </w:rPr>
        <w:t>
      Рисунок 16 – Получение графиков компонент напряжений SigmaY</w:t>
      </w:r>
    </w:p>
    <w:bookmarkEnd w:id="117"/>
    <w:bookmarkStart w:name="z146"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9"/>
    <w:p>
      <w:pPr>
        <w:spacing w:after="0"/>
        <w:ind w:left="0"/>
        <w:jc w:val="both"/>
      </w:pPr>
      <w:r>
        <w:rPr>
          <w:rFonts w:ascii="Times New Roman"/>
          <w:b w:val="false"/>
          <w:i w:val="false"/>
          <w:color w:val="000000"/>
          <w:sz w:val="28"/>
        </w:rPr>
        <w:t>
      Рисунок 17 – Получение графиков компонент напряжений TauXY</w:t>
      </w:r>
    </w:p>
    <w:bookmarkEnd w:id="119"/>
    <w:bookmarkStart w:name="z148" w:id="120"/>
    <w:p>
      <w:pPr>
        <w:spacing w:after="0"/>
        <w:ind w:left="0"/>
        <w:jc w:val="both"/>
      </w:pPr>
      <w:r>
        <w:rPr>
          <w:rFonts w:ascii="Times New Roman"/>
          <w:b w:val="false"/>
          <w:i w:val="false"/>
          <w:color w:val="000000"/>
          <w:sz w:val="28"/>
        </w:rPr>
        <w:t>
      Просмотрев вес текст программы на главной странице, и установив все необходимые исходные данные, а при необходимости, вносив изменения в тело программы можно будет запустить программу на выполнение. Для этого достаточно нажать на кнопкуRun (рисунок 18).</w:t>
      </w:r>
    </w:p>
    <w:bookmarkEnd w:id="120"/>
    <w:bookmarkStart w:name="z149"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22"/>
    <w:p>
      <w:pPr>
        <w:spacing w:after="0"/>
        <w:ind w:left="0"/>
        <w:jc w:val="both"/>
      </w:pPr>
      <w:r>
        <w:rPr>
          <w:rFonts w:ascii="Times New Roman"/>
          <w:b w:val="false"/>
          <w:i w:val="false"/>
          <w:color w:val="000000"/>
          <w:sz w:val="28"/>
        </w:rPr>
        <w:t>
      Рисунок 18 – Кнопка Run на панели инструментов для запуска программы</w:t>
      </w:r>
    </w:p>
    <w:bookmarkEnd w:id="122"/>
    <w:bookmarkStart w:name="z151" w:id="123"/>
    <w:p>
      <w:pPr>
        <w:spacing w:after="0"/>
        <w:ind w:left="0"/>
        <w:jc w:val="both"/>
      </w:pPr>
      <w:r>
        <w:rPr>
          <w:rFonts w:ascii="Times New Roman"/>
          <w:b w:val="false"/>
          <w:i w:val="false"/>
          <w:color w:val="000000"/>
          <w:sz w:val="28"/>
        </w:rPr>
        <w:t xml:space="preserve">
      В тексте программы присутствуют команды, согласно которым на экран будет выводиться необходимая информация о результатах решения задачи. Такая информация может иметь графическую форму, может быть в виде таблиц, или в виде текстового файла. Все это зависит от воли заказчика. </w:t>
      </w:r>
    </w:p>
    <w:bookmarkEnd w:id="123"/>
    <w:bookmarkStart w:name="z152" w:id="124"/>
    <w:p>
      <w:pPr>
        <w:spacing w:after="0"/>
        <w:ind w:left="0"/>
        <w:jc w:val="both"/>
      </w:pPr>
      <w:r>
        <w:rPr>
          <w:rFonts w:ascii="Times New Roman"/>
          <w:b w:val="false"/>
          <w:i w:val="false"/>
          <w:color w:val="000000"/>
          <w:sz w:val="28"/>
        </w:rPr>
        <w:t>
      Ниже, на рисунках 13-18, в качестве примера приведены результаты решения тестовой задачи, где приведены картины формирования поля горизонтальных и вертикальных перемещений точек характерных сечений исследуемой области и компоненты напряжений в характерных горизонтальных сечениях. В тестовой задаче дорожная конструкция нагружена распределенной вертикальной нагрузкой от одиночного колеса автомобиля, действующей в центре поверхности дорожного покрытия.</w:t>
      </w:r>
    </w:p>
    <w:bookmarkEnd w:id="124"/>
    <w:bookmarkStart w:name="z153" w:id="125"/>
    <w:p>
      <w:pPr>
        <w:spacing w:after="0"/>
        <w:ind w:left="0"/>
        <w:jc w:val="both"/>
      </w:pPr>
      <w:r>
        <w:rPr>
          <w:rFonts w:ascii="Times New Roman"/>
          <w:b w:val="false"/>
          <w:i w:val="false"/>
          <w:color w:val="000000"/>
          <w:sz w:val="28"/>
        </w:rPr>
        <w:t>
      4.8 Примеры расчетов по программе BASIC_NDS_MKE_8_uzlov</w:t>
      </w:r>
    </w:p>
    <w:bookmarkEnd w:id="125"/>
    <w:bookmarkStart w:name="z154" w:id="126"/>
    <w:p>
      <w:pPr>
        <w:spacing w:after="0"/>
        <w:ind w:left="0"/>
        <w:jc w:val="both"/>
      </w:pPr>
      <w:r>
        <w:rPr>
          <w:rFonts w:ascii="Times New Roman"/>
          <w:b w:val="false"/>
          <w:i w:val="false"/>
          <w:color w:val="000000"/>
          <w:sz w:val="28"/>
        </w:rPr>
        <w:t xml:space="preserve">
      Ниже приводятся результаты компьютерной реализации программы BASIC_NDS_MKE_8_uzlovв виде графиков перемещений и напряжений. </w:t>
      </w:r>
    </w:p>
    <w:bookmarkEnd w:id="126"/>
    <w:bookmarkStart w:name="z155"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66167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167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28"/>
    <w:p>
      <w:pPr>
        <w:spacing w:after="0"/>
        <w:ind w:left="0"/>
        <w:jc w:val="both"/>
      </w:pPr>
      <w:r>
        <w:rPr>
          <w:rFonts w:ascii="Times New Roman"/>
          <w:b w:val="false"/>
          <w:i w:val="false"/>
          <w:color w:val="000000"/>
          <w:sz w:val="28"/>
        </w:rPr>
        <w:t>
      1–горизонтальные смещения точек вертикального сечения, отстоящего от вертикальной оси симметрии слева на 30 см; 2–горизонтальные смещения точек вертикальной оси симметрии; 3–горизонтальные смещения точек вертикального сечения, отстоящего от вертикальной оси симметрии справа на 30 см</w:t>
      </w:r>
    </w:p>
    <w:bookmarkEnd w:id="128"/>
    <w:bookmarkStart w:name="z157"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1</w:t>
      </w:r>
      <w:r>
        <w:rPr>
          <w:rFonts w:ascii="Times New Roman"/>
          <w:b/>
          <w:i w:val="false"/>
          <w:color w:val="000000"/>
          <w:sz w:val="28"/>
        </w:rPr>
        <w:t xml:space="preserve">9 – </w:t>
      </w:r>
      <w:r>
        <w:rPr>
          <w:rFonts w:ascii="Times New Roman"/>
          <w:b/>
          <w:i w:val="false"/>
          <w:color w:val="000000"/>
          <w:sz w:val="28"/>
        </w:rPr>
        <w:t>Горизонтальные смещения точек вертикального сечения</w:t>
      </w:r>
    </w:p>
    <w:bookmarkEnd w:id="129"/>
    <w:bookmarkStart w:name="z158"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2</w:t>
      </w:r>
      <w:r>
        <w:rPr>
          <w:rFonts w:ascii="Times New Roman"/>
          <w:b/>
          <w:i w:val="false"/>
          <w:color w:val="000000"/>
          <w:sz w:val="28"/>
        </w:rPr>
        <w:t>0</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 xml:space="preserve"> Вертикальные смещения точек горизонтальных сечений, расположенных на глубинах: 1– </w:t>
      </w:r>
      <w:r>
        <w:rPr>
          <w:rFonts w:ascii="Times New Roman"/>
          <w:b/>
          <w:i w:val="false"/>
          <w:color w:val="000000"/>
          <w:sz w:val="28"/>
        </w:rPr>
        <w:t>h</w:t>
      </w:r>
      <w:r>
        <w:rPr>
          <w:rFonts w:ascii="Times New Roman"/>
          <w:b/>
          <w:i w:val="false"/>
          <w:color w:val="000000"/>
          <w:sz w:val="28"/>
        </w:rPr>
        <w:t>=5 см; 2–</w:t>
      </w:r>
      <w:r>
        <w:rPr>
          <w:rFonts w:ascii="Times New Roman"/>
          <w:b/>
          <w:i w:val="false"/>
          <w:color w:val="000000"/>
          <w:sz w:val="28"/>
        </w:rPr>
        <w:t>h</w:t>
      </w:r>
      <w:r>
        <w:rPr>
          <w:rFonts w:ascii="Times New Roman"/>
          <w:b/>
          <w:i w:val="false"/>
          <w:color w:val="000000"/>
          <w:sz w:val="28"/>
        </w:rPr>
        <w:t>=15 см; 3–</w:t>
      </w:r>
      <w:r>
        <w:rPr>
          <w:rFonts w:ascii="Times New Roman"/>
          <w:b/>
          <w:i w:val="false"/>
          <w:color w:val="000000"/>
          <w:sz w:val="28"/>
        </w:rPr>
        <w:t>h</w:t>
      </w:r>
      <w:r>
        <w:rPr>
          <w:rFonts w:ascii="Times New Roman"/>
          <w:b/>
          <w:i w:val="false"/>
          <w:color w:val="000000"/>
          <w:sz w:val="28"/>
        </w:rPr>
        <w:t>=25 см; 4–</w:t>
      </w:r>
      <w:r>
        <w:rPr>
          <w:rFonts w:ascii="Times New Roman"/>
          <w:b/>
          <w:i w:val="false"/>
          <w:color w:val="000000"/>
          <w:sz w:val="28"/>
        </w:rPr>
        <w:t>h</w:t>
      </w:r>
      <w:r>
        <w:rPr>
          <w:rFonts w:ascii="Times New Roman"/>
          <w:b/>
          <w:i w:val="false"/>
          <w:color w:val="000000"/>
          <w:sz w:val="28"/>
        </w:rPr>
        <w:t>=45 см;</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h</w:t>
      </w:r>
      <w:r>
        <w:rPr>
          <w:rFonts w:ascii="Times New Roman"/>
          <w:b/>
          <w:i w:val="false"/>
          <w:color w:val="000000"/>
          <w:sz w:val="28"/>
        </w:rPr>
        <w:t>=80 см.</w:t>
      </w:r>
    </w:p>
    <w:bookmarkEnd w:id="131"/>
    <w:bookmarkStart w:name="z160"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64008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008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Рисунок 21 – Распределение напряжений  на глубинах h</w:t>
      </w:r>
    </w:p>
    <w:bookmarkEnd w:id="133"/>
    <w:bookmarkStart w:name="z162"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6426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4262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35"/>
    <w:p>
      <w:pPr>
        <w:spacing w:after="0"/>
        <w:ind w:left="0"/>
        <w:jc w:val="both"/>
      </w:pPr>
      <w:r>
        <w:rPr>
          <w:rFonts w:ascii="Times New Roman"/>
          <w:b w:val="false"/>
          <w:i w:val="false"/>
          <w:color w:val="000000"/>
          <w:sz w:val="28"/>
        </w:rPr>
        <w:t>
      Рисунок 22 – Распределение напряжений  на глубинах h</w:t>
      </w:r>
    </w:p>
    <w:bookmarkEnd w:id="135"/>
    <w:bookmarkStart w:name="z164"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632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24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37"/>
    <w:p>
      <w:pPr>
        <w:spacing w:after="0"/>
        <w:ind w:left="0"/>
        <w:jc w:val="both"/>
      </w:pPr>
      <w:r>
        <w:rPr>
          <w:rFonts w:ascii="Times New Roman"/>
          <w:b w:val="false"/>
          <w:i w:val="false"/>
          <w:color w:val="000000"/>
          <w:sz w:val="28"/>
        </w:rPr>
        <w:t>
      Рисунок 23 – Распределение напряжений  на глубинах h</w:t>
      </w:r>
    </w:p>
    <w:bookmarkEnd w:id="137"/>
    <w:bookmarkStart w:name="z166" w:id="138"/>
    <w:p>
      <w:pPr>
        <w:spacing w:after="0"/>
        <w:ind w:left="0"/>
        <w:jc w:val="left"/>
      </w:pPr>
      <w:r>
        <w:rPr>
          <w:rFonts w:ascii="Times New Roman"/>
          <w:b/>
          <w:i w:val="false"/>
          <w:color w:val="000000"/>
        </w:rPr>
        <w:t xml:space="preserve"> Приложение А</w:t>
      </w:r>
    </w:p>
    <w:bookmarkEnd w:id="138"/>
    <w:bookmarkStart w:name="z167" w:id="139"/>
    <w:p>
      <w:pPr>
        <w:spacing w:after="0"/>
        <w:ind w:left="0"/>
        <w:jc w:val="left"/>
      </w:pPr>
      <w:r>
        <w:rPr>
          <w:rFonts w:ascii="Times New Roman"/>
          <w:b/>
          <w:i w:val="false"/>
          <w:color w:val="000000"/>
        </w:rPr>
        <w:t xml:space="preserve"> (обязательное)</w:t>
      </w:r>
    </w:p>
    <w:bookmarkEnd w:id="139"/>
    <w:bookmarkStart w:name="z168" w:id="140"/>
    <w:p>
      <w:pPr>
        <w:spacing w:after="0"/>
        <w:ind w:left="0"/>
        <w:jc w:val="both"/>
      </w:pPr>
      <w:r>
        <w:rPr>
          <w:rFonts w:ascii="Times New Roman"/>
          <w:b w:val="false"/>
          <w:i w:val="false"/>
          <w:color w:val="000000"/>
          <w:sz w:val="28"/>
        </w:rPr>
        <w:t xml:space="preserve">
      </w:t>
      </w:r>
      <w:r>
        <w:rPr>
          <w:rFonts w:ascii="Times New Roman"/>
          <w:b/>
          <w:i w:val="false"/>
          <w:color w:val="000000"/>
          <w:sz w:val="28"/>
        </w:rPr>
        <w:t>Исходный код программы BASIC_NDS_MKE_8_uzlov</w:t>
      </w:r>
    </w:p>
    <w:bookmarkEnd w:id="140"/>
    <w:tbl>
      <w:tblPr>
        <w:tblW w:w="0" w:type="auto"/>
        <w:tblCellSpacing w:w="0" w:type="auto"/>
        <w:tblBorders>
          <w:top w:val="none"/>
          <w:left w:val="none"/>
          <w:bottom w:val="none"/>
          <w:right w:val="none"/>
          <w:insideH w:val="none"/>
          <w:insideV w:val="none"/>
        </w:tblBorders>
      </w:tblPr>
      <w:tblGrid>
        <w:gridCol w:w="624"/>
        <w:gridCol w:w="11676"/>
      </w:tblGrid>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БАЗОВАЯ ВЕРСИЯ ПРОГРАММЫ BASIC_NDS_MKE_8_uzlov</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РЕШЕНИЕ ТЕСТОВОЙ ЗАДАЧИ О НДС С ПОМОЩЬЮ</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%ЧЕТЫРЕХУГОЛЬНОГО</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КВАДРАТИЧНОГО ЭЛЕМЕНТА С 8-Ю УЗЛАМИ МЕТОДОМ КОНЕЧНЫХ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ЭЛЕМЕНТОВ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Начало разработки 8.07.2017 г</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Окончание 1.09.2018 г</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ever=23; egor=60; % количество конечных элементов в вертикальном (ever) и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горизонтальном (egor) рядах элементов в конечно-элементной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разбивке</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np=(3*ever+2)*egor+2*ever+1; % общее число узлов</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x=zeros(np); y=zeros(np);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76" w:type="dxa"/>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xml:space="preserve">
% ПОРЯДОК НУМЕРАЦИИ ЭЛЕМЕНТОВ - СЛЕВА НАПРАВО (РЯДЫ </w:t>
            </w:r>
            <w:r>
              <w:br/>
            </w:r>
            <w:r>
              <w:rPr>
                <w:rFonts w:ascii="Times New Roman"/>
                <w:b w:val="false"/>
                <w:i w:val="false"/>
                <w:color w:val="000000"/>
                <w:sz w:val="20"/>
              </w:rPr>
              <w:t>
% НАЧИНАЮТСЯ СНИЗУ)</w:t>
            </w:r>
          </w:p>
          <w:bookmarkEnd w:id="141"/>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76" w:type="dxa"/>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xml:space="preserve">
% ПОРЯДОК НУМЕРАЦИИ УЗЛОВ - СЛЕВА НАПРАВО. РЯДЫ УЗЛОВ ТАКЖЕ </w:t>
            </w:r>
            <w:r>
              <w:br/>
            </w:r>
            <w:r>
              <w:rPr>
                <w:rFonts w:ascii="Times New Roman"/>
                <w:b w:val="false"/>
                <w:i w:val="false"/>
                <w:color w:val="000000"/>
                <w:sz w:val="20"/>
              </w:rPr>
              <w:t>
% НАЧИНАЮТСЯ</w:t>
            </w:r>
          </w:p>
          <w:bookmarkEnd w:id="142"/>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76" w:type="dxa"/>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xml:space="preserve">
% СНИЗУ. ПРОМЕЖУТОЧНЫЕ РЯДЫ УЗЛОВ, ПРОХОДЯЩИЕ ЧЕРЕЗ СЕРЕДИНУ </w:t>
            </w:r>
            <w:r>
              <w:br/>
            </w:r>
            <w:r>
              <w:rPr>
                <w:rFonts w:ascii="Times New Roman"/>
                <w:b w:val="false"/>
                <w:i w:val="false"/>
                <w:color w:val="000000"/>
                <w:sz w:val="20"/>
              </w:rPr>
              <w:t>
% ЭЛЕМЕНТОВ</w:t>
            </w:r>
          </w:p>
          <w:bookmarkEnd w:id="143"/>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СОДЕРЖАТ egor+1 УЗЛОВ</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ФОРМИРОВАНИЕ МАССИВА НОМЕРОВ УЗЛОВ С ЗАДАННЫМИ ЗНАЧЕНИЯМИ</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ПЕРЕМЕЩЕНИЙ ДЛЯ ЗАДАНИЯ ГРАНИЧНЫХ УСЛОВИЙ В ПЕРЕМЕЩЕНИЯХ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Mz=zeros(400);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np=ever*(3*egor+2)+2*egor+1;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Mz(i)=i;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k=2*egor+2;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Mz(k)=(2*egor+1)+1+(i-1)*(3*egor+2);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Mz(k+1)=Mz(k)+egor;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Mz(k+2)=Mz(k+1)+1;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Mz(k+3)=Mz(k+2)+2*egor;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Mz(k)=Mz(i)+np;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МАССИВЫ ШАГОВ ПО КООРДИНАТНЫМ ОСЯМ В МЕТРАХ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 long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dx=zeros(2*egor);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dy=zeros(2*ever);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dx=[</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0.250e-01 0.250e-01 0.250e-01 0.250e-01 0.250e-01 0.250e-01 0.250e-01 ...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 0.250e-01 0.250e-01 0.250e-01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0.250e-01 0.250e-01 0.250e-01 0.250e-01];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dy=[0.1000 0.1000 0.1000 0.1000 0.1000 0.1000 0.1000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0.1000 0.1000 0.1000 0.1000 0.1000 0.0750 0.0750 ...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0.0625 0.0625 0.0500 0.0500 0.0500 0.0500 0.0250 ...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 0.0250];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yy=[0.000 0.200 0.400 0.600 0.800 1.000 1.200 1.400 1.600 1.800 2.000 2.200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2.550 2.700 2.825 2.950 3.050 3.150 3.250 3.350 3.400 3.450 3.500];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 ФОРМИРОВАНИЯ КООРДИНАТ</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Положительное направление оси х - слева направо</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Положительное направление оси у - снизу вверх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NN=zeros(ever);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x(n1)=(m-1)*2*dx(m); x(n2)=x(n1)+dx(m); x(n3)=x(n1)+2*dx(m);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x(n4)=x(n3); x(n5)=x(n3); x(n6)=x(n2); x(n7)=x(n1); x(n8)=x(n1);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y(n1)=yy(n); y(n2)=y(n1); y(n3)=y(n1); y(n4)=y(n3)+dy(n);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y(n5)=y(n3)+2*dy(n); y(n6)=y(n5); y(n7)=y(n5); y(n8)=y(n4);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if(m==36)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NN(2*k-1)=n3;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NN(2*k)=n4;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ИСХОДНЫЕ ДАННЫЕ И ОБНУЛЕНИЕ МАТРИЦ</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np2=2*np;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K=zeros(np2,np2);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U=zeros(np2+1);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U0=zeros(np2+1);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F=zeros(np2);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МАТЕРИАЛОВ КОНСТРУКТИВНЫХ СЛОЕВ (СВЕРХУ ВНИЗ)</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АБ МЗ ПЛОТНЫЙ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АБ КЗ ПОРИСТЫЙ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ЩЕБЕНОЧНО-ПЕСЧАНАЯ СМЕСЬ 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ЩЕБЕНОЧНАЯ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ГРАВИЙНО-ПЕСЧАНАЯ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ГРУНТ СУГЛИНОК ЛЕГКИЙ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676" w:type="dxa"/>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xml:space="preserve">
% ФИЗИКО-МЕХАНИЧЕСКИЕ ХАРАКТЕРИСТИКИ МАТЕРИАЛОВ СЛОЕВ(СВЕРХУ </w:t>
            </w:r>
            <w:r>
              <w:br/>
            </w:r>
            <w:r>
              <w:rPr>
                <w:rFonts w:ascii="Times New Roman"/>
                <w:b w:val="false"/>
                <w:i w:val="false"/>
                <w:color w:val="000000"/>
                <w:sz w:val="20"/>
              </w:rPr>
              <w:t>
% ВНИЗ)</w:t>
            </w:r>
          </w:p>
          <w:bookmarkEnd w:id="144"/>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E=[6933e+05 4142e+05 1000e+05 250e+05 180e+05 58e+05]; % Модуль упр.кг/м^2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nu=[0.18 0.27 0.30 0.30 0.30 0.35]; % КОЭФФИЦИЕНТЫ ПУАССОНА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ГРАНИЧНЫЕ УСЛОВИЯ В НАГРУЗКАХ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Нагрузка от одиночного колеса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ДАННЫЕ ИЗ ИНТЕРНЕТА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Па=0.102 кгс/м^2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МПа=6.12 кгс/см^2=60000.0 кгс/м^2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676" w:type="dxa"/>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xml:space="preserve">
% РАСПРЕДЕЛЕННАЯ ПО УГЛОВЫМ УЗЛАМ ЭЛЕМЕНТА НАГРУЗКА ОТ </w:t>
            </w:r>
            <w:r>
              <w:br/>
            </w:r>
            <w:r>
              <w:rPr>
                <w:rFonts w:ascii="Times New Roman"/>
                <w:b w:val="false"/>
                <w:i w:val="false"/>
                <w:color w:val="000000"/>
                <w:sz w:val="20"/>
              </w:rPr>
              <w:t xml:space="preserve">
% ОДИНОЧНОГО КОЛЕСА </w:t>
            </w:r>
          </w:p>
          <w:bookmarkEnd w:id="145"/>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676" w:type="dxa"/>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xml:space="preserve">
% ПРИКЛАДЫВАЕТСЯ ПО ЦЕНТРУ РАСЧЕТНОЙ СХЕМЫ. При этом промежуточные </w:t>
            </w:r>
            <w:r>
              <w:br/>
            </w:r>
            <w:r>
              <w:rPr>
                <w:rFonts w:ascii="Times New Roman"/>
                <w:b w:val="false"/>
                <w:i w:val="false"/>
                <w:color w:val="000000"/>
                <w:sz w:val="20"/>
              </w:rPr>
              <w:t>
% узлы</w:t>
            </w:r>
          </w:p>
          <w:bookmarkEnd w:id="146"/>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игнорируются</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6" w:type="dxa"/>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xml:space="preserve">
% НАГРУЗКА НА КОЛЕСО РАССЧИТЫВАЕТСЯ ИЗ РАСЧЕТА НОРМАТИВНОЙ </w:t>
            </w:r>
            <w:r>
              <w:br/>
            </w:r>
            <w:r>
              <w:rPr>
                <w:rFonts w:ascii="Times New Roman"/>
                <w:b w:val="false"/>
                <w:i w:val="false"/>
                <w:color w:val="000000"/>
                <w:sz w:val="20"/>
              </w:rPr>
              <w:t xml:space="preserve">
% ИНТЕНСИВНОСТИ </w:t>
            </w:r>
          </w:p>
          <w:bookmarkEnd w:id="147"/>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НАГРУЗКИ q=0.6 MPa</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ЕСЛИ 1 Па=0.102 кгс/м^2 (из Интернета) ТО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0.6 МПа=6.12 кгс/см^2 = 60000.0 кгс/м^2.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Таким образом, если на 1 погонный метр полотна приходится 60000 кг веса, то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одно расстояние 0.05 м – 3000 кг веса.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Если ширину колеса принять равной 40 см, а ширину одного конечного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элемента в горизонтальном направлении – 5 см, то транспортная нагрузка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будет распределена по 9 узлам в пределах 8 конечных элементов.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Расстояние между угловыми узлами - 0.05 м (5 cм - ширина конечного элемента).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При этом надо учесть, что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два крайних узла (1-ый и 9-ый узлы) будут нагружены наполовину.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 таком случае, нагрузки в узловых точках будут распределены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следующим образом: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P1=P9=1500 кг, P2=P3= … =P8=3000 кг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РАСЧЕТ НАГРУЗКИ НА УЗЕЛ</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РАССТОЯНИЕ МЕЖДУ УЗЛАМИ 0.025 М (учитываются и промежуточные узлы)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1 М ПРИХОДИТСЯ 60000 КГ ВЕСА, А НА ОДНО РАССТОЯНИЕ 0.025 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ПРИХОДИТСЯ 1500 КГ ВЕСА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РЕЗУЛЬТАТЫ БУДУТ ПОЛУЧЕНЫ В КГ И МЕТРАХ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ВЕЛИЧИНЫ ВЕРТИКАЛЬНЫХ СИЛ, ПРИЛОЖЕННЫХ ПО УГЛОВЫМ УЗЛАМ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ЦЕНТРАЛЬНОЙ ЧАСТИ ЭПЮРЫ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P=0.3e+04; % кг</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НОМЕРА УГЛОВЫХ УЗЛОВ ПРИЛОЖЕНИЯ СИЛ</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nF(1:9)=[4239 4241 4243 4245 4247 4249 4251 4253 4255];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i=1:9</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j=nF(i);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ПРИЛОЖЕНИЕ СИЛ К УГЛОВЫМ УЗЛАМ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F(nF(1)+np)=-P/2;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F(nF(9)+np)=-P/2;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F(nF(1+i)+np)=-P;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ФОРМИРОВАНИЕ МАТРИЦЫ ЖЕСТКОСТИ ЭЛЕМЕНТА [ke] И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ГЛОБАЛЬНОЙ МАТРИЦЫ ЖЕСТКОСТИ СИСТЕМЫ [K]</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mpe=[-0.577350 0.577350]; % КООРДИНАТЫ ТОЧЕК ИНТЕГРИРОВАНИЯ</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mH=[1 1]; % ВЕСОВЫЕ КОЭФФИЦИЕНТЫ</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K=zeros(np2,np2);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X1=x(n1); Y1=y(n1);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X2=x(n3); Y2=y(n3);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X3=x(n5); Y3=y(n5);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X4=x(n7); Y4=y(n7);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676" w:type="dxa"/>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xml:space="preserve">
 % ФОРМИРОВАНИЕ МАТРИЦЫ УПРУГОСТИ ДЛЯ СЛУЧАЯ ПЛОСКОЙ </w:t>
            </w:r>
            <w:r>
              <w:br/>
            </w:r>
            <w:r>
              <w:rPr>
                <w:rFonts w:ascii="Times New Roman"/>
                <w:b w:val="false"/>
                <w:i w:val="false"/>
                <w:color w:val="000000"/>
                <w:sz w:val="20"/>
              </w:rPr>
              <w:t>
 % ДЕФОРМАЦИИ</w:t>
            </w:r>
          </w:p>
          <w:bookmarkEnd w:id="148"/>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if((n&gt;=1)&amp;(n&lt;=7))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e1=E(6); nu1=nu(6); % ГРУНТ СУГЛИНОК ЛЕГКИЙ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if((n&gt;=8)&amp;(n&lt;=12))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e1=E(5); nu1=nu(5); % ГРАВИЙНО-ПЕСЧАНАЯ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if((n&gt;=13)&amp;(n&lt;=16))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e1=E(4); nu1=nu(4); % ЩЕБЕНОЧНАЯ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if((n&gt;=17)&amp;(n&lt;=20))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e1=E(3); nu1=nu(3); % ЩЕБЕНОЧНО-ПЕСЧАНАЯ СМЕСЬ 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if((n&gt;=21)&amp;(n&lt;=22))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e1=E(2); nu1=nu(2); % АБ КЗ ПОРИСТЫЙ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if(n==23)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e1=E(1); nu1=nu(1); % АБ МЗ ПЛОТНЫЙ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D=zeros(3,3);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D(3,3)=e1/(2*(1+nu1)); D(2,2)=2*D(3,3)*(1-nu1)/(1-2*nu1);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D(1,1)=D(2,2); D(1,2)=2*D(3,3)*nu1/(1-2*nu1);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D(2,1)=D(1,2);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dJ=abs((X1-X2)*(Y2-Y4))/4;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676" w:type="dxa"/>
            <w:tcBorders/>
            <w:tcMar>
              <w:top w:w="15" w:type="dxa"/>
              <w:left w:w="15" w:type="dxa"/>
              <w:bottom w:w="15" w:type="dxa"/>
              <w:right w:w="15" w:type="dxa"/>
            </w:tcMar>
            <w:vAlign w:val="center"/>
          </w:tcPr>
          <w:bookmarkStart w:name="z177" w:id="149"/>
          <w:p>
            <w:pPr>
              <w:spacing w:after="20"/>
              <w:ind w:left="20"/>
              <w:jc w:val="both"/>
            </w:pPr>
            <w:r>
              <w:rPr>
                <w:rFonts w:ascii="Times New Roman"/>
                <w:b w:val="false"/>
                <w:i w:val="false"/>
                <w:color w:val="000000"/>
                <w:sz w:val="20"/>
              </w:rPr>
              <w:t xml:space="preserve">
 % ИСПОЛЬЗОВАНИЕ КВАДРАТУРЫ ГАУССА ДЛЯ ЧИСЛЕННОГО </w:t>
            </w:r>
            <w:r>
              <w:br/>
            </w:r>
            <w:r>
              <w:rPr>
                <w:rFonts w:ascii="Times New Roman"/>
                <w:b w:val="false"/>
                <w:i w:val="false"/>
                <w:color w:val="000000"/>
                <w:sz w:val="20"/>
              </w:rPr>
              <w:t>
 % ИНТЕГРИРОВАНИЯ</w:t>
            </w:r>
          </w:p>
          <w:bookmarkEnd w:id="149"/>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ДВОЙНОГО ИНТЕГРАЛА В МАТРИЦЕ ЖЕСТКОСТИ ЭЛЕМЕНТА [Ke]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BtDBnds1(psi,eta,D,X1,X2,Y1,Y3) - подпрограмма вычисления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матрицы жесткости элемента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Ke=zeros(16,16);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psi=mpe(1); eta=mpe(1);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psi=mpe(1); eta=mpe(2);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psi=mpe(2); eta=mpe(1);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psi=mpe(2); eta=mpe(2);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k22=BtDBnds1(psi,eta,D,X1,X2,Y1,Y3);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Ke=dJ*(mH(1)*(mH(1)*k11+mH(2)*k12)+mH(2)*(mH(1)*k21+mH(2)*k22));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ne8=[n1 n2 n3 n4 n5 n6 n7 n8];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K(ne8(i),ne8(j))=K(ne8(i),ne8(j))+Ke(i,j);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K(ne8(i),ne8(j)+np)=K(ne8(i),ne8(j)+np)+Ke(i,j+8);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K(ne8(i)+np,ne8(j))=K(ne8(i)+np,ne8(j))+Ke(i+8,j);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K(ne8(i)+np,ne8(j)+np)=K(ne8(i)+np,ne8(j)+np)+Ke(i+8,j+8);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disp('Матрица К сформирована')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ПРЕОБРАЗОВАНИЕ СЛАУ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np2=2*np;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F(n)=K(n,n)*U(n);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K(n,m)=0.0;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F(m)=F(m)-K(m,n)*U(n);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РЕШЕНИЕ СЛАУ</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U=K\F;</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disp('Система [K]{U}={F} решена')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Номера узлов характерных вертикальных сечений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49 146 231 328 413 510 595 692 ...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777 874 959 1056 1141 1238 1323 1420 ...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1505 1602 1687 1784 1869 1966 2051 2148 ...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2233 2330 2415 2512 2597 2694 2779 2876 ...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2961 3058 3143 3240 3325 3422 3507 3604 ...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 3786 3871 3968 4053 4150 4235];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nom15=[</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61 152 243 334 425 516 607 698 ...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789 880 971 1062 1153 1244 1335 1426 ...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1517 1608 1699 1790 1881 1972 2063 2154 ...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2245 2336 2427 2518 2609 2700 2791 2882 ...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2973 3064 3155 3246 3337 3428 3519 3610 ...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3792 3883 3974 4065 4156 4247];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nom18=[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73 158 255 340 437 522 619 704 ...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801 886 983 1068 1165 1250 1347 1432 ...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1529 1614 1711 1796 1893 1978 2075 2160 ...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2257 2342 2439 2524 2621 2706 2803 2888 ...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2985 3070 3167 3252 3349 3434 3531 3616 ...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 3798 3895 3980 4077 4162 4259];</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ГРАФИКИ ГОРИЗОНТАЛЬНЫХ ПЕРЕМЕЩЕНИЙ УЗЛОВ В СРЕДНЕМ СЕЧЕНИИ</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X150=zeros(2*ever+1);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X120=zeros(2*ever+1);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X180=zeros(2*ever+1);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j120=nom12(i);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j150=nom15(i);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j180=nom18(i);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Y(i)=y(j150);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X120(i)=U(j120)-0.0001; % СЛЕВА ОТ ВЕРТИКАЛЬНОЙ ОСИ СИММЕТРИИ НА 30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X150(i)=U(j150)*10; % НА ВЕРТИКАЛЬНОЙ ОСИ СИММЕТРИИ</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676" w:type="dxa"/>
            <w:tcBorders/>
            <w:tcMar>
              <w:top w:w="15" w:type="dxa"/>
              <w:left w:w="15" w:type="dxa"/>
              <w:bottom w:w="15" w:type="dxa"/>
              <w:right w:w="15" w:type="dxa"/>
            </w:tcMar>
            <w:vAlign w:val="center"/>
          </w:tcPr>
          <w:bookmarkStart w:name="z178" w:id="150"/>
          <w:p>
            <w:pPr>
              <w:spacing w:after="20"/>
              <w:ind w:left="20"/>
              <w:jc w:val="both"/>
            </w:pPr>
            <w:r>
              <w:rPr>
                <w:rFonts w:ascii="Times New Roman"/>
                <w:b w:val="false"/>
                <w:i w:val="false"/>
                <w:color w:val="000000"/>
                <w:sz w:val="20"/>
              </w:rPr>
              <w:t xml:space="preserve">
 X180(i)=U(j180)+0.0001; % СПРАВА ОТ ВЕРТИКАЛЬНОЙ ОСИ СИММЕТРИИ НА </w:t>
            </w:r>
            <w:r>
              <w:br/>
            </w:r>
            <w:r>
              <w:rPr>
                <w:rFonts w:ascii="Times New Roman"/>
                <w:b w:val="false"/>
                <w:i w:val="false"/>
                <w:color w:val="000000"/>
                <w:sz w:val="20"/>
              </w:rPr>
              <w:t>
 % 30 СМ</w:t>
            </w:r>
          </w:p>
          <w:bookmarkEnd w:id="150"/>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hPlot=plot(X150,Y,'b-',X120,Y,'r-',X180,Y,'k-.');grid on;xlabel('Ux, m');ylabel('y,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676" w:type="dxa"/>
            <w:tcBorders/>
            <w:tcMar>
              <w:top w:w="15" w:type="dxa"/>
              <w:left w:w="15" w:type="dxa"/>
              <w:bottom w:w="15" w:type="dxa"/>
              <w:right w:w="15" w:type="dxa"/>
            </w:tcMar>
            <w:vAlign w:val="center"/>
          </w:tcPr>
          <w:bookmarkStart w:name="z179" w:id="151"/>
          <w:p>
            <w:pPr>
              <w:spacing w:after="20"/>
              <w:ind w:left="20"/>
              <w:jc w:val="both"/>
            </w:pPr>
            <w:r>
              <w:rPr>
                <w:rFonts w:ascii="Times New Roman"/>
                <w:b w:val="false"/>
                <w:i w:val="false"/>
                <w:color w:val="000000"/>
                <w:sz w:val="20"/>
              </w:rPr>
              <w:t xml:space="preserve">
% ФОРМИРОВАНИЕ МАССИВА НОМЕРОВ ГОРИЗОНТАЛЬНЫХ РЯДОВ УЗЛОВ </w:t>
            </w:r>
            <w:r>
              <w:br/>
            </w:r>
            <w:r>
              <w:rPr>
                <w:rFonts w:ascii="Times New Roman"/>
                <w:b w:val="false"/>
                <w:i w:val="false"/>
                <w:color w:val="000000"/>
                <w:sz w:val="20"/>
              </w:rPr>
              <w:t>
% Nv(I,m)</w:t>
            </w:r>
          </w:p>
          <w:bookmarkEnd w:id="151"/>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676" w:type="dxa"/>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xml:space="preserve">
% ОБЩЕЕ ЧИСЛО УЗЛОВ В КАЖДОМ ПОЛНОМ ГОРИЗОНТАЛЬНОМ РЯДУ РАВНО </w:t>
            </w:r>
            <w:r>
              <w:br/>
            </w:r>
            <w:r>
              <w:rPr>
                <w:rFonts w:ascii="Times New Roman"/>
                <w:b w:val="false"/>
                <w:i w:val="false"/>
                <w:color w:val="000000"/>
                <w:sz w:val="20"/>
              </w:rPr>
              <w:t xml:space="preserve">
% 2*egor+1, </w:t>
            </w:r>
          </w:p>
          <w:bookmarkEnd w:id="152"/>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 ЧИСЛО ТАКИХ ГОРИЗОНТАЛЬНЫХ РЯДОВ РАВНО 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676" w:type="dxa"/>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xml:space="preserve">
% СЕЧЕНИЯ, ПРОХОДЯЩИЕ ЧЕРЕЗ СЕРЕДИНУ ЭЛЕМЕНТОВ, НЕ </w:t>
            </w:r>
            <w:r>
              <w:br/>
            </w:r>
            <w:r>
              <w:rPr>
                <w:rFonts w:ascii="Times New Roman"/>
                <w:b w:val="false"/>
                <w:i w:val="false"/>
                <w:color w:val="000000"/>
                <w:sz w:val="20"/>
              </w:rPr>
              <w:t>
% РАССМАТРИВАЮТСЯ.</w:t>
            </w:r>
          </w:p>
          <w:bookmarkEnd w:id="153"/>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676" w:type="dxa"/>
            <w:tcBorders/>
            <w:tcMar>
              <w:top w:w="15" w:type="dxa"/>
              <w:left w:w="15" w:type="dxa"/>
              <w:bottom w:w="15" w:type="dxa"/>
              <w:right w:w="15" w:type="dxa"/>
            </w:tcMar>
            <w:vAlign w:val="center"/>
          </w:tcPr>
          <w:bookmarkStart w:name="z182" w:id="154"/>
          <w:p>
            <w:pPr>
              <w:spacing w:after="20"/>
              <w:ind w:left="20"/>
              <w:jc w:val="both"/>
            </w:pPr>
            <w:r>
              <w:rPr>
                <w:rFonts w:ascii="Times New Roman"/>
                <w:b w:val="false"/>
                <w:i w:val="false"/>
                <w:color w:val="000000"/>
                <w:sz w:val="20"/>
              </w:rPr>
              <w:t xml:space="preserve">
% ОНИ ИСПОЛЬЗУЕТСЯ ДЛЯ ПОСТРОЕНИЯ ГРАФИКОВ ИСКОМЫХ ВЕЛИЧИН НА </w:t>
            </w:r>
            <w:r>
              <w:br/>
            </w:r>
            <w:r>
              <w:rPr>
                <w:rFonts w:ascii="Times New Roman"/>
                <w:b w:val="false"/>
                <w:i w:val="false"/>
                <w:color w:val="000000"/>
                <w:sz w:val="20"/>
              </w:rPr>
              <w:t>
% КАЖДОМ</w:t>
            </w:r>
          </w:p>
          <w:bookmarkEnd w:id="154"/>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ГОРИЗОНТАЛЬНОМ УРОВНЕ (ГЛУБИНЕ)</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Nv=zeros(ever+1,2*egor+1);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Nv(I,m)=m+(3*egor+2)*(n-1);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Nv(I,2*m-1)=m+(2*egor+1)*n+(egor+1)*(n-1);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 short</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Set=zeros(2*ever+1,4);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n=1:2*ever+1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Set(n,1)=n;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Set(n,2)=i;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Set(n,3)=y(i);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Set(n,4)=3.50-y(i);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m=1:47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fprintf('%6u %6u %10.4f %10.4f\n',Set(m,1),Set(m,2),Set(m,3),Set(m,4));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ГРАФИКИ ВЕРТИКАЛЬНЫХ ПЕРЕМЕЩЕНИЙ УЗЛОВ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ГООРИЗОНТАЛЬНЫХ СЕЧЕНИЙ НА ГЛУБИНАХ h</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j=Nv(45,i); % ГЛУБИНА h=5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j=Nv(41,i); % ГЛУБИНА h=15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j=Nv(39,i); % ГЛУБИНА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Ux325(i)=U(j);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Uy325(i)=Y(i);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j=Nv(35,i); % ГЛУБИНА h=45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X345(i)=X(i);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Ux305(i)=U(j);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Uy305(i)=Y(i);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i=1:(2*egor+1)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j=Nv(29,i); % ГЛУБИНА h=80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Y(i)=U(j+np);</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Ux270(i)=U(j);</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Uy270(i)=Y(i);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hPlot=plot(X,Y,'-.');grid on;xlabel('X, m');ylabel('Uy, 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ВЫЧИСЛЕНИЕ КОМПОНЕНТОВ ДЕФОРМАЦИИ В СРЕДИННЫХ ТОЧКАХ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ЭЛЕМЕНТОВ (eps=0.0, eta=0.0)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epsX0=zeros(ever*egor);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epsY0=zeros(ever*egor);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gamXY0=zeros(ever*egor);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dJ=abs((x(n1)-x(n3))*(y(n3)-y(n7)))/4;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i=m+egor*(n-1);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epsX0(i)=(U(n4)-U(n8))/(x(n4)-x(n8));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epsY0(i)=(-U(n2+np)+U(n6+np))/(y(n6)-y(n2));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gamXY0(i)=-(-U(n2)+U(n6))/(x(n4)-x(n8))+(U(n4+np)-U(n8+np))/(y(n6)-y(n2));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НОМЕРА ЭЛЕМЕНТОВ ПОСТРОЧНО</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NEv=zeros(ever,egor);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i=m+egor*(n-1);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NEv(n,m)=i;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НОМЕР СРЕДИННОГО УЗЛА, ДЛЯ КОТОРОГО ВЫЧИСЛЯЮТСЯ ДЕФОРМАЦИИ % И НАПРЯЖЕНИЯ,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СОВПАДАЕТ С НОМЕРОМ ЭЛЕМЕНТА, РАСПОЛОЖЕННОГО В МАССИВЕ NEv(n,m)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Y25=zeros(egor); Y200=zeros(egor); Y400=zeros(egor);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i25=NEv(23,m);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i200=NEv(20,m);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i400=NEv(18,m);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Y25(m)=epsX0(i25);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Y200(m)=epsX0(i200);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Y400(m)=epsX0(i400); % 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hPlot=plot(X,Y25,'-',X,Y200,'--',X,Y400,'-.');...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m');ylabel('epsX')</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Y25=zeros(egor); Y200=zeros(egor); Y400=zeros(egor);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i25=NEv(23,m);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i200=NEv(20,m);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i400=NEv(18,m);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Y25(m)=epsY0(i25);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Y200(m)=epsY0(i200);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Y400(m)=epsY0(i400); % 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hPlot=plot(X,Y25,'-',X,Y200,'--',X,Y400,'-.');...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m');ylabel('epsY')</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ВЫЧИСЛЕНИЕ КОМПОНЕНТОВ НАПРЯЖЕНИЙ Sigma В СРЕДИННЫХ ТОЧКАХ</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ЭЛЕМЕНТОВ (eps=0.0, eta=0.0)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SigX=zeros(ever); SigY=zeros(ever);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n=1:ever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n1=2*m-1+(3*egor+2)*(n-1); n2=n1+1; n3=n1+2;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n4=n3+2*egor-m+1; n5=n3+(3*egor+2);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n6=n5-1; n7=n5-2; n8=n4-1;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676" w:type="dxa"/>
            <w:tcBorders/>
            <w:tcMar>
              <w:top w:w="15" w:type="dxa"/>
              <w:left w:w="15" w:type="dxa"/>
              <w:bottom w:w="15" w:type="dxa"/>
              <w:right w:w="15" w:type="dxa"/>
            </w:tcMar>
            <w:vAlign w:val="center"/>
          </w:tcPr>
          <w:bookmarkStart w:name="z183" w:id="155"/>
          <w:p>
            <w:pPr>
              <w:spacing w:after="20"/>
              <w:ind w:left="20"/>
              <w:jc w:val="both"/>
            </w:pPr>
            <w:r>
              <w:rPr>
                <w:rFonts w:ascii="Times New Roman"/>
                <w:b w:val="false"/>
                <w:i w:val="false"/>
                <w:color w:val="000000"/>
                <w:sz w:val="20"/>
              </w:rPr>
              <w:t xml:space="preserve">
 % ФОРМИРОВАНИЕ МАТРИЦЫ УПРУГОСТИ ДЛЯ СЛУЧАЯ ПЛОСКОЙ </w:t>
            </w:r>
            <w:r>
              <w:br/>
            </w:r>
            <w:r>
              <w:rPr>
                <w:rFonts w:ascii="Times New Roman"/>
                <w:b w:val="false"/>
                <w:i w:val="false"/>
                <w:color w:val="000000"/>
                <w:sz w:val="20"/>
              </w:rPr>
              <w:t>
 % ДЕФОРМАЦИИ</w:t>
            </w:r>
          </w:p>
          <w:bookmarkEnd w:id="155"/>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if((n&gt;=1)&amp;(n&lt;=7))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e1=E(6); nu1=nu(6); % ГРУНТ СУГЛИНОК ЛЕГКИЙ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if((n&gt;=8)&amp;(n&lt;=12))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e1=E(5); nu1=nu(5); % ГРАВИЙНО-ПЕСЧАНАЯ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if((n&gt;=13)&amp;(n&lt;=16))</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e1=E(4); nu1=nu(4); % ЩЕБЕНОЧНАЯ СМЕСЬ</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if((n&gt;=17)&amp;(n&lt;=20))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e1=E(3); nu1=nu(3); % ЩЕБЕНОЧНО-ПЕСЧАНАЯ СМЕСЬ 8%</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if((n&gt;=21)&amp;(n&lt;=22))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e1=E(2); nu1=nu(2); % АБ КЗ ПОРИСТЫЙ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if(n==23)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e1=E(1); nu1=nu(1); % АБ МЗ ПЛОТНЫЙ</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D=zeros(3,3);</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D(3,3)=e1/(2*(1+nu1)); D(2,2)=2*D(3,3)*(1-nu1)/(1-2*nu1);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D(1,1)=D(2,2); D(1,2)=2*D(3,3)*nu1/(1-2*nu1);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D(2,1)=D(1,2);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X1=x(n1); X2=x(n3); Y2=y(n3); Y4=y(n7);</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dJ=abs((X1-X2)*(Y2-Y4))/4; % Якобиан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G=e1/(2*(1+nu1));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i=m+egor*(n-1);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SigmaX0(i)=(D(1,1)*epsX0(i)+D(1,2)*epsY0(i))/100000;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SigmaY0(i)=(D(2,1)*epsX0(i)+D(2,2)*epsY0(i))/100000;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TauXY0(i)=D(3,3)*gamXY0(i)/100000;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if(m==30)</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SigX(n)=SigmaX0(i);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SigY(n)=SigmaY0(i);</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ПОСТРОЕНИЕ ГРАФИКОВ КОМПОНЕНТ НАПРЯЖЕНИЙ SigmaX0, SigmaY0 И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TauXY0 В СРЕДИННЫХ УЗЛАХ ЭЛЕМЕНТОВ</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Y23(m)=SigmaX0(i23);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Y22(m)=SigmaX0(i22);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Y20(m)=SigmaX0(i20);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Y18(m)=SigmaX0(i18);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Y14(m)=SigmaX0(i14);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Y12(m)=SigmaX0(i12);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hPlot=plot(X,Y22,'-',X,Y20,'--',X,Y18,'-.',X,Y14,'-r');...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m');ylabel('SigmaX,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Y23(m)=SigmaY0(i23);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Y22(m)=SigmaY0(i22);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Y20(m)=SigmaY0(i20);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Y18(m)=SigmaY0(i18);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Y14(m)=SigmaY0(i14);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Y12(m)=SigmaY0(i12);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hPlot=plot(X,Y22,'-',X,Y20,'--',X,Y18,'-.',X,Y14,'-r');...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m');ylabel('SigmaY,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X=zeros(egor); Y23=zeros(egor); Y22=zeros(egor); Y20=zeros(egor);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Y18=zeros(egor); Y14=zeros(egor); Y12=zeros(egor);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m=1:egor</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n=Nv(1,2*m);</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X(m)=x(n);</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i23=NEv(23,m); % h=2,5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i22=NEv(22,m); % h=7,5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i21=NEv(21,m); % h=12,5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i20=NEv(20,m); % h=20,0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i18=NEv(18,m); % h=40,0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i16=NEv(16,m); % h=61,25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i14=NEv(14,m); % h=87,5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i12=NEv(12,m); % h=120,0 см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Y23(m)=TauXY0(i23); % 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Y22(m)=TauXY0(i22); % 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Y21(m)=TauXY0(i21); % 12,5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Y20(m)=TauXY0(i20); % 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Y18(m)=TauXY0(i18); % 40,0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Y16(m)=TauXY0(i16); % 61,25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Y14(m)=TauXY0(i14); % 87,5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Y12(m)=TauXY0(i12); % 120,0 cм</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hPlot=plot(X,Y22,'-',X,Y20,'--',X,Y14,'-.');...</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grid on;xlabel('X, m');ylabel('TauXY, МПа')</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set(hPlot,'LineWidth',2);</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w:t>
            </w:r>
          </w:p>
        </w:tc>
      </w:tr>
    </w:tbl>
    <w:bookmarkStart w:name="z184" w:id="156"/>
    <w:p>
      <w:pPr>
        <w:spacing w:after="0"/>
        <w:ind w:left="0"/>
        <w:jc w:val="left"/>
      </w:pPr>
      <w:r>
        <w:rPr>
          <w:rFonts w:ascii="Times New Roman"/>
          <w:b/>
          <w:i w:val="false"/>
          <w:color w:val="000000"/>
        </w:rPr>
        <w:t xml:space="preserve"> Приложение Б</w:t>
      </w:r>
    </w:p>
    <w:bookmarkEnd w:id="156"/>
    <w:bookmarkStart w:name="z185" w:id="157"/>
    <w:p>
      <w:pPr>
        <w:spacing w:after="0"/>
        <w:ind w:left="0"/>
        <w:jc w:val="left"/>
      </w:pPr>
      <w:r>
        <w:rPr>
          <w:rFonts w:ascii="Times New Roman"/>
          <w:b/>
          <w:i w:val="false"/>
          <w:color w:val="000000"/>
        </w:rPr>
        <w:t xml:space="preserve"> (обязательное)</w:t>
      </w:r>
    </w:p>
    <w:bookmarkEnd w:id="157"/>
    <w:bookmarkStart w:name="z186"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Исходный код подпрограммы </w:t>
      </w:r>
      <w:r>
        <w:rPr>
          <w:rFonts w:ascii="Times New Roman"/>
          <w:b/>
          <w:i w:val="false"/>
          <w:color w:val="000000"/>
          <w:sz w:val="28"/>
        </w:rPr>
        <w:t>BtDBnds</w:t>
      </w:r>
    </w:p>
    <w:bookmarkEnd w:id="158"/>
    <w:tbl>
      <w:tblPr>
        <w:tblW w:w="0" w:type="auto"/>
        <w:tblCellSpacing w:w="0" w:type="auto"/>
        <w:tblBorders>
          <w:top w:val="none"/>
          <w:left w:val="none"/>
          <w:bottom w:val="none"/>
          <w:right w:val="none"/>
          <w:insideH w:val="none"/>
          <w:insideV w:val="none"/>
        </w:tblBorders>
      </w:tblPr>
      <w:tblGrid>
        <w:gridCol w:w="671"/>
        <w:gridCol w:w="11629"/>
      </w:tblGrid>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function[BDB]=BtDBnds(psi,eta,D,X1,X2,Y1,Y3);</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A=(-2/(X1-X2));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B1=A*(1-eta)*(2*psi+eta)/4; B2= A*(-psi*(1-eta));</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A*(1-eta)*(2*psi-eta)/4; B4= A*(1-eta^2)/2;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 A*(1+eta)*(2*psi+eta)/4; B6= A*(-psi*(1+eta));</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A*(1+eta)*(2*psi-eta)/4; B8= A*(-(1-eta^2)/2);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B=(-2/(Y1-Y3));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C1=B*(1-psi)*(psi+2*eta)/4; C2=-B*(1-psi^2)/2;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C3=B*(1+psi)*(-psi+2*eta)/4; C4=-B*eta*(1+psi);</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C5=B*(1+psi)*(psi+2*eta)/4; C6=B*(1-psi^2)/2;</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C7=B*(-(1-psi)*(psi-2*eta)/4); C8=-B*eta*(1-psi);</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B=[B1 B2 B3 B4 B5 B6 B7 B8 0 0 0 0 0 0 0 0; </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0 0 0 0 0 C1 C2 C3 C4 C5 C6 C7 C8;</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C2 C3 C4 C5 C6 C7 C8 B1 B2 B3 B4 B5 B6 B7 B8];</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Bt=B';</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BtD=Bt*D;</w:t>
            </w:r>
          </w:p>
        </w:tc>
      </w:tr>
      <w:tr>
        <w:trPr>
          <w:trHeight w:val="30" w:hRule="atLeast"/>
        </w:trPr>
        <w:tc>
          <w:tcPr>
            <w:tcW w:w="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BDB=BtD*B;</w:t>
            </w:r>
          </w:p>
        </w:tc>
      </w:tr>
    </w:tbl>
    <w:p>
      <w:pPr>
        <w:spacing w:after="0"/>
        <w:ind w:left="0"/>
        <w:jc w:val="left"/>
      </w:pPr>
      <w:r>
        <w:br/>
      </w:r>
      <w:r>
        <w:rPr>
          <w:rFonts w:ascii="Times New Roman"/>
          <w:b w:val="false"/>
          <w:i w:val="false"/>
          <w:color w:val="000000"/>
          <w:sz w:val="28"/>
        </w:rPr>
        <w:t>
</w:t>
      </w:r>
    </w:p>
    <w:bookmarkStart w:name="z187" w:id="159"/>
    <w:p>
      <w:pPr>
        <w:spacing w:after="0"/>
        <w:ind w:left="0"/>
        <w:jc w:val="left"/>
      </w:pPr>
      <w:r>
        <w:rPr>
          <w:rFonts w:ascii="Times New Roman"/>
          <w:b/>
          <w:i w:val="false"/>
          <w:color w:val="000000"/>
        </w:rPr>
        <w:t xml:space="preserve"> Библиография</w:t>
      </w:r>
    </w:p>
    <w:bookmarkEnd w:id="159"/>
    <w:bookmarkStart w:name="z188" w:id="160"/>
    <w:p>
      <w:pPr>
        <w:spacing w:after="0"/>
        <w:ind w:left="0"/>
        <w:jc w:val="both"/>
      </w:pPr>
      <w:r>
        <w:rPr>
          <w:rFonts w:ascii="Times New Roman"/>
          <w:b w:val="false"/>
          <w:i w:val="false"/>
          <w:color w:val="000000"/>
          <w:sz w:val="28"/>
        </w:rPr>
        <w:t>
       [1]Мартынов Н.Н., Иванов А.П. MATLAB 5.Х. Вычисления, визуализация, программирование. – М.:КУДИЦ-ОБРАЗ, 2000.-336 с.</w:t>
      </w:r>
    </w:p>
    <w:bookmarkEnd w:id="160"/>
    <w:bookmarkStart w:name="z189" w:id="161"/>
    <w:p>
      <w:pPr>
        <w:spacing w:after="0"/>
        <w:ind w:left="0"/>
        <w:jc w:val="both"/>
      </w:pPr>
      <w:r>
        <w:rPr>
          <w:rFonts w:ascii="Times New Roman"/>
          <w:b w:val="false"/>
          <w:i w:val="false"/>
          <w:color w:val="000000"/>
          <w:sz w:val="28"/>
        </w:rPr>
        <w:t>
      [2] Коткин Г.Л., Черкасский В.С. Компьютерное моделирование физических процессов с использованием MATLAB:Учебное пособие/Новосиб. ун-т. Новосибирск, 2001. 173 с.</w:t>
      </w:r>
    </w:p>
    <w:bookmarkEnd w:id="161"/>
    <w:bookmarkStart w:name="z190" w:id="162"/>
    <w:p>
      <w:pPr>
        <w:spacing w:after="0"/>
        <w:ind w:left="0"/>
        <w:jc w:val="both"/>
      </w:pPr>
      <w:r>
        <w:rPr>
          <w:rFonts w:ascii="Times New Roman"/>
          <w:b w:val="false"/>
          <w:i w:val="false"/>
          <w:color w:val="000000"/>
          <w:sz w:val="28"/>
        </w:rPr>
        <w:t>
      [3] Потемкин В.Г. Система инженерных и научных расчетов MATLAB 5.Х. В 2-х томах. –М.:ДИАЛОГ-МИФИ, 1999. 670 с.</w:t>
      </w:r>
    </w:p>
    <w:bookmarkEnd w:id="162"/>
    <w:bookmarkStart w:name="z191" w:id="163"/>
    <w:p>
      <w:pPr>
        <w:spacing w:after="0"/>
        <w:ind w:left="0"/>
        <w:jc w:val="both"/>
      </w:pPr>
      <w:r>
        <w:rPr>
          <w:rFonts w:ascii="Times New Roman"/>
          <w:b w:val="false"/>
          <w:i w:val="false"/>
          <w:color w:val="000000"/>
          <w:sz w:val="28"/>
        </w:rPr>
        <w:t>
      [4] Тынкевич М.А. Численные методы.-Кемерово.:КузГТУ.1977.-122 с.</w:t>
      </w:r>
    </w:p>
    <w:bookmarkEnd w:id="163"/>
    <w:bookmarkStart w:name="z192" w:id="164"/>
    <w:p>
      <w:pPr>
        <w:spacing w:after="0"/>
        <w:ind w:left="0"/>
        <w:jc w:val="both"/>
      </w:pPr>
      <w:r>
        <w:rPr>
          <w:rFonts w:ascii="Times New Roman"/>
          <w:b w:val="false"/>
          <w:i w:val="false"/>
          <w:color w:val="000000"/>
          <w:sz w:val="28"/>
        </w:rPr>
        <w:t>
      [5] Сегерлинд Л. Применение метода конечных элементов. М: Мир, 1979.– 392 с.</w:t>
      </w:r>
    </w:p>
    <w:bookmarkEnd w:id="164"/>
    <w:bookmarkStart w:name="z193" w:id="165"/>
    <w:p>
      <w:pPr>
        <w:spacing w:after="0"/>
        <w:ind w:left="0"/>
        <w:jc w:val="both"/>
      </w:pPr>
      <w:r>
        <w:rPr>
          <w:rFonts w:ascii="Times New Roman"/>
          <w:b w:val="false"/>
          <w:i w:val="false"/>
          <w:color w:val="000000"/>
          <w:sz w:val="28"/>
        </w:rPr>
        <w:t xml:space="preserve">
      [6] СТ РК 1293-2004 Методы определения модуля упругости дорожных одежд нежесткого типа и их классификация. </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