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22ed" w14:textId="5ec2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2007 год
(Национальный центр по правам человека)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2006 года N 1220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</w:t>
      </w:r>
      <w:r>
        <w:rPr>
          <w:rFonts w:ascii="Times New Roman"/>
          <w:b w:val="false"/>
          <w:i w:val="false"/>
          <w:color w:val="000000"/>
          <w:sz w:val="28"/>
        </w:rPr>
        <w:t>
 кодексом Республики Казахстан от 24 апреля 2004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2007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Национального центра по правам человека согласно приложению 
</w:t>
      </w:r>
      <w:r>
        <w:rPr>
          <w:rFonts w:ascii="Times New Roman"/>
          <w:b w:val="false"/>
          <w:i w:val="false"/>
          <w:color w:val="000000"/>
          <w:sz w:val="28"/>
        </w:rPr>
        <w:t xml:space="preserve"> 13;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13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106 - Национальный центр по правам человека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 "Обеспечение деятельности Уполномоченного по правам человека"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41683 тысячи тенге (сорок один миллион шестьсот восемьдесят три тысячи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июля 1999 года "О государственной службе";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января 2003 года "Об электронном документе и электронной цифровой подписи";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мая 2003 года "Об информатизации";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22 января 1999 года N 29 "О мерах по дальнейшей оптимизации системы государственных органов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31 июля 2000 года N 427 "О мерах по улучшению работы государственного аппарата, борьбе с бюрократизмом и сокращению документооборота";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19 сентября 2002 года N 947 "Об учреждении должности Уполномоченного по правам человека";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10 декабря 2002 года N 992 "О создании Национального центра по правам человека".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совершенствование системы защиты конституционных прав и свобод граждан, осуществление наблюдения за соблюдением прав и свобод человека и гражданина, принятия мер по восстановлению нарушенных прав и свобод человека и гражданина.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деятельности и всемерное содействие Уполномоченному по правам человека в осуществлении контроля за соблюдением прав свобод человека и гражданина Республики Казахстан, совершенствование законодательства Республики Казахстан в области прав и свобод и правового просвещения населения.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1185"/>
        <w:gridCol w:w="1109"/>
        <w:gridCol w:w="3049"/>
        <w:gridCol w:w="3245"/>
        <w:gridCol w:w="2015"/>
        <w:gridCol w:w="2703"/>
      </w:tblGrid>
      <w:tr>
        <w:trPr>
          <w:trHeight w:val="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правам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анализ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правам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 гражданства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действия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организации,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нарушающих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и свободы,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Конституцией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результатам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правам чело-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 проверок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сообщений 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опубликования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средствах мас-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совой 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правам чело-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 в соответ-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ствующие 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дарственные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ганы, о привле-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чении к установ-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 законом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действия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повлекли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 прав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свобод челове-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 и гражданина;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заклю-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чений по вопро-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 совершенст-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вования законо-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прав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 человека.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 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возащитных меро-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приятий.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
</w:t>
            </w:r>
          </w:p>
        </w:tc>
      </w:tr>
      <w:tr>
        <w:trPr>
          <w:trHeight w:val="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обуче-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языков.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
</w:t>
            </w:r>
          </w:p>
        </w:tc>
      </w:tr>
      <w:tr>
        <w:trPr>
          <w:trHeight w:val="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правам человека.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
</w:t>
            </w:r>
          </w:p>
        </w:tc>
      </w:tr>
      <w:tr>
        <w:trPr>
          <w:trHeight w:val="14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 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Интернет, база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"Закон",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1С-бухгалтерия.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издание отчета Уполномоченного по правам человека на государственном и русском языках и направление Президенту, Парламенту, Правительству, Верховному суду, Генеральной прокуратуре и другим центральным и местным государственным органам, направление посольствам Республики Казахстан и международным организациям для информирования о деятельности Уполномоченного по правам человека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обучение государственному языку в количестве 15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обучение английскому в количестве 5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канцелярскими принадлежностями и хозяйственными товарами;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мебелью и компьютерной техникой.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восстановление нарушенных прав и свобод человека и гражданина, иностранных граждан и лиц без гражданства гарантированных Конституцией и международными договорами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обучения государственному языку государственных служащих на 100 процентов;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эффективное расходование средств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средние затраты на обучение государственному языку одного государственного служащего Центра - 23,8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средние затраты на обучение английскому языку одного государственного служащего Центра - 23,8 тыс.тенге.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рассмотрение обращения граждан в установленный законодательством срок;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исполнение запланированных мероприятий в соответствии с планами работы Национального Центра и со сроками реализации;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обучение в течение года в соответствии с заключаемыми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удовлетворение обращений граждан принятых к рассмотрению и направление по ним ответов заявителям;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повышение профессионального уровня государственных служащих согласно требованиям профессиональной государственной службы, в соответствии с современными экономическими условиями; доля государственных служащих, которые перешли на делопроизводство по государственному языку после прохождения курсов обучения государственному языку 40 процентов.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