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adc8" w14:textId="401a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размещения и эксплуатации линейной части магистрального нефтепровода "Тенгиз-Новороссийск"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ноября 2013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для размещения и эксплуатации линейной части 0-130,3 км магистрального нефтепровода "Тенгиз-Новороссийск" акционерного общества "Каспийский трубопроводный Консорциум-К" (далее – АО "КТК-К") сроком на 49 лет, без изъятия земельных участков у землепользователей и собственников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"КТК-К":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причинения убытков собственникам земельных участков и землепользователям по согласованию возместить ущерб в соответствии с действующим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режима землепользования, утвержденного постановлением акимата Жылыойского района от 20 декабря 2009 года № 439 "Об установлении санитарно-защитной зоны Тенгизского нефтяного месторождения на период промышленной эксплуатации на земельных участках Жылыойского района", в пределах земель, принадлежащих товариществу с ограниченной ответственностью "Тенгизшевройл" на правах аренды и сервитута;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срока, установленного для публичного сервитута, восстановить нарушенные земли в установленном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Г.И. Дуйсембаева.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399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для установления публичного сервитута для размещения и эксплуатации линейной части 0-130,3 км магистрального нефтепровода "Тенгиз-Новороссийск"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земли товарищества с ограниченной ответственностью "Тенгизшевройл"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Жылыойского района: в том числе: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на праве сервитута товариществу с ограниченной ответственностью "Тенгизшевройл"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118552,47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1185,5247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всего: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крестьянское хозяйство "Сарсен"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крестьянское хозяйство "Бопе"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крестьянское хозяйство "Уайсова Р.У."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