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952" w14:textId="7c14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 марта 2016 года № 11/02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</w:t>
      </w:r>
      <w:r>
        <w:rPr>
          <w:rFonts w:ascii="Times New Roman"/>
          <w:b/>
          <w:i w:val="false"/>
          <w:color w:val="000000"/>
          <w:sz w:val="28"/>
        </w:rPr>
        <w:t>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11/02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Осакаровского района,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21 апреля 2010 года № 10/03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№ 8-15-123, опубликовано в районной газете "Сельский труженик" от 12 июня 2010 года № 23 (7195));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2013 года № 05/03 "О внесении изменения в постановление акимата района от 21 апреля 2010 года № 10/03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№ 2187, опубликовано в районной газете "Сельский труженик" от 8 марта 2013 года № 10 (7338));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июня 2014 года № 41/01 "О внесении изменений в постановление акимата района от 21 апреля 2010 года № 10/03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№ 2687, опубликовано в районной газете "Сельский труженик" от 26 июля 2014 года № 30 (7410)).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