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a6695" w14:textId="a8a66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некоторые решения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02 марта 2016 года № 516-V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утратившими силу следующие решения районного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№ </w:t>
      </w:r>
      <w:r>
        <w:rPr>
          <w:rFonts w:ascii="Times New Roman"/>
          <w:b w:val="false"/>
          <w:i w:val="false"/>
          <w:color w:val="000000"/>
          <w:sz w:val="28"/>
        </w:rPr>
        <w:t>446-V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15 сентября 2015 года (зарегистрировано в реестре государственной регистрации нормативных правовых актов за № 3308, опубликовано 22 октября 2015 года в районной газете "Серпер") "О повышении ставок единого земельного налога и базовых ставок земельного налога на не используемые в соответствии с земельным законодательством Республики Казахстан земли сельскохозяйственного назначения в Курмангазинском районе";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№ </w:t>
      </w:r>
      <w:r>
        <w:rPr>
          <w:rFonts w:ascii="Times New Roman"/>
          <w:b w:val="false"/>
          <w:i w:val="false"/>
          <w:color w:val="000000"/>
          <w:sz w:val="28"/>
        </w:rPr>
        <w:t>474-V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 декабря 2015 года (зарегистрировано в реестре государственной регистрации нормативных правовых актов за № 3418, опубликовано 23 января 2016 года в районной газете "Серпер") "О внесении изменений в решение районного маслихата от 15 сентября 2015 года № 446-V "О повышении ставок единого земельного налога и базовых ставок земельного налога на не используемые в соответствии с земельным законодательством Республики Казахстан земли сельскохозяйственного назначения в Курмангазинском районе</w:t>
      </w:r>
      <w:r>
        <w:rPr>
          <w:rFonts w:ascii="Times New Roman"/>
          <w:b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опубликовать в районной газете "Серпер".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ХХХХVІІ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Хусайнов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Султанияев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