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b5db" w14:textId="7bfb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августа 2018 года № 361. Утратил силу приказом Министра информации и коммуникаций Республики Казахстан от 15 октября 2018 года № 440 (вводится в действие с 4 декабря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04.12.2018).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декабря 2017 года № 453 "Об утверждении положений территориальных органов Комитета телекоммуникаций Министерства информации и коммуникаций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Шымкент и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Шымкент и Туркестанской области";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Шымкент и Туркестанской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160011, город Шымкент, Аль-Фарабийский район, проспект Тауке Хана, 35.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Шымкент и Туркестанской области.".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перерегистрацию в органах юстиции;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