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08d1" w14:textId="62c0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ноября 2020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вносятся изменения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Комитета промышленной безопасности, начальникам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Положений в органах юстиции в установленном законодательством порядке;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приказа.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кадровой политики Министерства по чрезвычайным ситуациям Республики Казахстан обеспечить в установленном законодательством порядке: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подписания.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