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582b" w14:textId="cef5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Буландынского районного маслихата от 20 марта 2018 года № 6С-21/7 "Об утверждении регламента собрания местного сообщества по Буландынскому району"</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25 ноября 2021 года № 7С-12/3</w:t>
      </w:r>
    </w:p>
    <w:p>
      <w:pPr>
        <w:spacing w:after="0"/>
        <w:ind w:left="0"/>
        <w:jc w:val="both"/>
      </w:pPr>
      <w:bookmarkStart w:name="z1" w:id="0"/>
      <w:r>
        <w:rPr>
          <w:rFonts w:ascii="Times New Roman"/>
          <w:b w:val="false"/>
          <w:i w:val="false"/>
          <w:color w:val="000000"/>
          <w:sz w:val="28"/>
        </w:rPr>
        <w:t>
      Буландынский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Буландынского районного маслихата от 20 марта 2018 года № 6С-21/7 "Об утверждении регламента собрания местного сообщества по Буландынскому району" (зарегистрирован в Реестре государственной регистрации нормативных правовых актов под № 6526)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по Буландынскому району, утвержденного указанным решением:</w:t>
      </w:r>
    </w:p>
    <w:bookmarkEnd w:id="2"/>
    <w:bookmarkStart w:name="z4"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Макинска, сельских округов:</w:t>
      </w:r>
    </w:p>
    <w:p>
      <w:pPr>
        <w:spacing w:after="0"/>
        <w:ind w:left="0"/>
        <w:jc w:val="both"/>
      </w:pPr>
      <w:r>
        <w:rPr>
          <w:rFonts w:ascii="Times New Roman"/>
          <w:b w:val="false"/>
          <w:i w:val="false"/>
          <w:color w:val="000000"/>
          <w:sz w:val="28"/>
        </w:rPr>
        <w:t>
      1) до 10 тысяч населения - 5-10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Макинска,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Макинска,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акима города Макинска, сельских округов по управлению коммунальной собственностью города Макинска, сельских округов (коммунальной собственностью местного самоуправления); образование комиссии местного сообщества из числа участников собрания в целях мониторинга исполнения бюджета города Макинска,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Макинска, сельских округов; согласование отчуждения коммунального имущества города Макинска, сельских округов;</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Буландынского района кандидатур на должность акима города Макинска, сельских округов для дальнейшего внесения в Буландынскую районную избирательную комиссию для регистрации в качестве кандидатов в акимы города Макинска, сельских округов;</w:t>
      </w:r>
    </w:p>
    <w:p>
      <w:pPr>
        <w:spacing w:after="0"/>
        <w:ind w:left="0"/>
        <w:jc w:val="both"/>
      </w:pPr>
      <w:r>
        <w:rPr>
          <w:rFonts w:ascii="Times New Roman"/>
          <w:b w:val="false"/>
          <w:i w:val="false"/>
          <w:color w:val="000000"/>
          <w:sz w:val="28"/>
        </w:rPr>
        <w:t>
      инициирование вопроса об освобождении от должности акимов города Макинска, сельских округов;</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города Макинска,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6" w:id="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"По вопросам, вносимым на рассмотрение собрания, аппараты акима города Макинска, сельских округов не позднее, чем за пять календарных дней до созыва собрания представляют членам собрания и акимам города Макинска, сельских округов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Буландынского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Буландынского районного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8" w:id="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города Макинск,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акимов города Макинск, сельских округов.";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Решения, принятые собранием, рассматриваются акимами города Макинска, сельских округов и доводятся аппаратом акима города Макинска, сельских округов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Макинск, сельских округов, вопрос разрешается акимом Буландынского района.</w:t>
      </w:r>
    </w:p>
    <w:p>
      <w:pPr>
        <w:spacing w:after="0"/>
        <w:ind w:left="0"/>
        <w:jc w:val="both"/>
      </w:pPr>
      <w:r>
        <w:rPr>
          <w:rFonts w:ascii="Times New Roman"/>
          <w:b w:val="false"/>
          <w:i w:val="false"/>
          <w:color w:val="000000"/>
          <w:sz w:val="28"/>
        </w:rPr>
        <w:t>
      Аким города Макинск, сельских округов, в течение двух рабочих дней, направляет в адрес акима Буландынского района и Буландынского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 Аким Буландынского района после предварительного обсуждения и его решения на ближайшем заседании Буландынского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10"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