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932a" w14:textId="0139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Степняка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107 240,1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города Степняка на 2022 год, используются свободные остатки бюджетных средств, образовавшиеся на 1 января 2022 года, в сумме 3 600,6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10.06.2022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С-17/3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01.01.2022);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С-18/3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Степняка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Степняка района Биржан сал на 2022 год предусмотрен объем субвенции в сумме 28 769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города Степняка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города Степняка района Биржан сал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бюджета города Степняка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2022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 город Степняк, улица Чапаева № 1-14,16,18,20; улица Биржан сал № 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