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e75f" w14:textId="f76e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Мартукского районного маслихата от 1 июня 2018 года № 152 "Об утверждении Регламента собрания местного сообщества Мартукского района"</w:t>
      </w:r>
    </w:p>
    <w:p>
      <w:pPr>
        <w:spacing w:after="0"/>
        <w:ind w:left="0"/>
        <w:jc w:val="both"/>
      </w:pPr>
      <w:r>
        <w:rPr>
          <w:rFonts w:ascii="Times New Roman"/>
          <w:b w:val="false"/>
          <w:i w:val="false"/>
          <w:color w:val="000000"/>
          <w:sz w:val="28"/>
        </w:rPr>
        <w:t>Решение Мартукского районного маслихата Актюбинской области от 26 ноября 2021 года № 65</w:t>
      </w:r>
    </w:p>
    <w:p>
      <w:pPr>
        <w:spacing w:after="0"/>
        <w:ind w:left="0"/>
        <w:jc w:val="both"/>
      </w:pPr>
      <w:bookmarkStart w:name="z2" w:id="0"/>
      <w:r>
        <w:rPr>
          <w:rFonts w:ascii="Times New Roman"/>
          <w:b w:val="false"/>
          <w:i w:val="false"/>
          <w:color w:val="000000"/>
          <w:sz w:val="28"/>
        </w:rPr>
        <w:t>
      Мартукский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Мартукского районного маслихата "Об утверждении Регламента собрания местного сообщества Мартукского района" от 1 июня 2018 года № 152 (зарегистрировано в Реестре государственной регистрации нормативных правовых актов под № 3-8-174)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Мартукского района,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Мартукского районного маслихата от 26 ноября 2021 года №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Мартукского районного маслихата от 1 июня 2018 года № 152</w:t>
            </w:r>
          </w:p>
        </w:tc>
      </w:tr>
    </w:tbl>
    <w:p>
      <w:pPr>
        <w:spacing w:after="0"/>
        <w:ind w:left="0"/>
        <w:jc w:val="left"/>
      </w:pPr>
      <w:r>
        <w:rPr>
          <w:rFonts w:ascii="Times New Roman"/>
          <w:b/>
          <w:i w:val="false"/>
          <w:color w:val="000000"/>
        </w:rPr>
        <w:t xml:space="preserve"> Регламент собрания местного сообщества Мартукского района </w:t>
      </w:r>
      <w:r>
        <w:br/>
      </w:r>
      <w:r>
        <w:rPr>
          <w:rFonts w:ascii="Times New Roman"/>
          <w:b/>
          <w:i w:val="false"/>
          <w:color w:val="000000"/>
        </w:rPr>
        <w:t>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Мартукского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маслихатом района.</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Мартукскую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Мартукского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Мартукского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Мартукского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