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ad16d" w14:textId="ffad1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Темирского районного маслихата Актюбинской области от 10 апреля 2018 года № 214 "Об утверждении Регламента собрания местного сообщества Темирского района"</w:t>
      </w:r>
    </w:p>
    <w:p>
      <w:pPr>
        <w:spacing w:after="0"/>
        <w:ind w:left="0"/>
        <w:jc w:val="both"/>
      </w:pPr>
      <w:r>
        <w:rPr>
          <w:rFonts w:ascii="Times New Roman"/>
          <w:b w:val="false"/>
          <w:i w:val="false"/>
          <w:color w:val="000000"/>
          <w:sz w:val="28"/>
        </w:rPr>
        <w:t>Решение Темирского районного маслихата Актюбинской области от 8 ноября 2021 года № 109</w:t>
      </w:r>
    </w:p>
    <w:p>
      <w:pPr>
        <w:spacing w:after="0"/>
        <w:ind w:left="0"/>
        <w:jc w:val="both"/>
      </w:pPr>
      <w:r>
        <w:rPr>
          <w:rFonts w:ascii="Times New Roman"/>
          <w:b w:val="false"/>
          <w:i w:val="false"/>
          <w:color w:val="000000"/>
          <w:sz w:val="28"/>
        </w:rPr>
        <w:t>
      РЕШИЛ:</w:t>
      </w:r>
    </w:p>
    <w:bookmarkStart w:name="z2"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Темирского районного маслихата Актюбинской области от 10 апреля 2018 года № 214 "Об утверждении Регламента собрания местного сообщества Темирского района" (зарегистрировано в Реестре государственной регистрации нормативных правовых актов под № 3–10–191) следующие изменения и дополнения:</w:t>
      </w:r>
    </w:p>
    <w:bookmarkEnd w:id="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Регламенте</w:t>
      </w:r>
      <w:r>
        <w:rPr>
          <w:rFonts w:ascii="Times New Roman"/>
          <w:b w:val="false"/>
          <w:i w:val="false"/>
          <w:color w:val="000000"/>
          <w:sz w:val="28"/>
        </w:rPr>
        <w:t xml:space="preserve"> собрания местного сообщества Темирского района, утвержденном указанным решением:</w:t>
      </w:r>
    </w:p>
    <w:bookmarkStart w:name="z3" w:id="1"/>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пунктами 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следующего содержания:</w:t>
      </w:r>
    </w:p>
    <w:bookmarkEnd w:id="1"/>
    <w:p>
      <w:pPr>
        <w:spacing w:after="0"/>
        <w:ind w:left="0"/>
        <w:jc w:val="both"/>
      </w:pPr>
      <w:r>
        <w:rPr>
          <w:rFonts w:ascii="Times New Roman"/>
          <w:b w:val="false"/>
          <w:i w:val="false"/>
          <w:color w:val="000000"/>
          <w:sz w:val="28"/>
        </w:rPr>
        <w:t>
      "2–1.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города районного значения, села, поселка, сельского округа:</w:t>
      </w:r>
    </w:p>
    <w:p>
      <w:pPr>
        <w:spacing w:after="0"/>
        <w:ind w:left="0"/>
        <w:jc w:val="both"/>
      </w:pPr>
      <w:r>
        <w:rPr>
          <w:rFonts w:ascii="Times New Roman"/>
          <w:b w:val="false"/>
          <w:i w:val="false"/>
          <w:color w:val="000000"/>
          <w:sz w:val="28"/>
        </w:rPr>
        <w:t>
      1) до 10 тысяч населения 5–10 членов собрания;</w:t>
      </w:r>
    </w:p>
    <w:p>
      <w:pPr>
        <w:spacing w:after="0"/>
        <w:ind w:left="0"/>
        <w:jc w:val="both"/>
      </w:pPr>
      <w:r>
        <w:rPr>
          <w:rFonts w:ascii="Times New Roman"/>
          <w:b w:val="false"/>
          <w:i w:val="false"/>
          <w:color w:val="000000"/>
          <w:sz w:val="28"/>
        </w:rPr>
        <w:t>
      2) 10–15 тысяч населения – 11–15 членов собрания;</w:t>
      </w:r>
    </w:p>
    <w:p>
      <w:pPr>
        <w:spacing w:after="0"/>
        <w:ind w:left="0"/>
        <w:jc w:val="both"/>
      </w:pPr>
      <w:r>
        <w:rPr>
          <w:rFonts w:ascii="Times New Roman"/>
          <w:b w:val="false"/>
          <w:i w:val="false"/>
          <w:color w:val="000000"/>
          <w:sz w:val="28"/>
        </w:rPr>
        <w:t>
      3) 15–20 тысяч населения – 16–20 членов собрания;</w:t>
      </w:r>
    </w:p>
    <w:p>
      <w:pPr>
        <w:spacing w:after="0"/>
        <w:ind w:left="0"/>
        <w:jc w:val="both"/>
      </w:pPr>
      <w:r>
        <w:rPr>
          <w:rFonts w:ascii="Times New Roman"/>
          <w:b w:val="false"/>
          <w:i w:val="false"/>
          <w:color w:val="000000"/>
          <w:sz w:val="28"/>
        </w:rPr>
        <w:t>
      4) свыше 20 тысяч населения – 21–25 членов собрания.</w:t>
      </w:r>
    </w:p>
    <w:p>
      <w:pPr>
        <w:spacing w:after="0"/>
        <w:ind w:left="0"/>
        <w:jc w:val="both"/>
      </w:pPr>
      <w:r>
        <w:rPr>
          <w:rFonts w:ascii="Times New Roman"/>
          <w:b w:val="false"/>
          <w:i w:val="false"/>
          <w:color w:val="000000"/>
          <w:sz w:val="28"/>
        </w:rPr>
        <w:t>
      2–2.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p>
      <w:pPr>
        <w:spacing w:after="0"/>
        <w:ind w:left="0"/>
        <w:jc w:val="both"/>
      </w:pPr>
      <w:r>
        <w:rPr>
          <w:rFonts w:ascii="Times New Roman"/>
          <w:b w:val="false"/>
          <w:i w:val="false"/>
          <w:color w:val="000000"/>
          <w:sz w:val="28"/>
        </w:rPr>
        <w:t>
      2–3.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2–2 настоящего Регламента.";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"3. Собрание проводится по текущим вопросам местного значения:</w:t>
      </w:r>
    </w:p>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города районного значения, села, поселка, сельского округа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города районного значения, села, поселка,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города районного значения, села, поселка, сельского округа по управлению коммунальной собственностью города районного значения, села, поселка,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города районного значения, села, поселка, сельского округа;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города районного значения, села, поселка, сельского округа;</w:t>
      </w:r>
    </w:p>
    <w:p>
      <w:pPr>
        <w:spacing w:after="0"/>
        <w:ind w:left="0"/>
        <w:jc w:val="both"/>
      </w:pPr>
      <w:r>
        <w:rPr>
          <w:rFonts w:ascii="Times New Roman"/>
          <w:b w:val="false"/>
          <w:i w:val="false"/>
          <w:color w:val="000000"/>
          <w:sz w:val="28"/>
        </w:rPr>
        <w:t>
      согласование отчуждения коммунального имущества города районного значения, села, поселка, сельского округа;</w:t>
      </w:r>
    </w:p>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p>
      <w:pPr>
        <w:spacing w:after="0"/>
        <w:ind w:left="0"/>
        <w:jc w:val="both"/>
      </w:pPr>
      <w:r>
        <w:rPr>
          <w:rFonts w:ascii="Times New Roman"/>
          <w:b w:val="false"/>
          <w:i w:val="false"/>
          <w:color w:val="000000"/>
          <w:sz w:val="28"/>
        </w:rPr>
        <w:t>
      согласование представленных акимом Темирского района (города областного значения)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города районного значения, села, поселка, сельского округа;</w:t>
      </w:r>
    </w:p>
    <w:p>
      <w:pPr>
        <w:spacing w:after="0"/>
        <w:ind w:left="0"/>
        <w:jc w:val="both"/>
      </w:pPr>
      <w:r>
        <w:rPr>
          <w:rFonts w:ascii="Times New Roman"/>
          <w:b w:val="false"/>
          <w:i w:val="false"/>
          <w:color w:val="000000"/>
          <w:sz w:val="28"/>
        </w:rPr>
        <w:t>
      инициирование вопроса об освобождении от должности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p>
      <w:pPr>
        <w:spacing w:after="0"/>
        <w:ind w:left="0"/>
        <w:jc w:val="both"/>
      </w:pPr>
      <w:r>
        <w:rPr>
          <w:rFonts w:ascii="Times New Roman"/>
          <w:b w:val="false"/>
          <w:i w:val="false"/>
          <w:color w:val="000000"/>
          <w:sz w:val="28"/>
        </w:rPr>
        <w:t>
      4. Собрание созывается и проводится акимами городов районного значения, сел, поселков, сельских округов самостоятельно либо по инициативе не менее десяти процентов членов собрания, но не реже одного раза в квартал.</w:t>
      </w:r>
    </w:p>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Start w:name="z5" w:id="2"/>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5</w:t>
      </w:r>
      <w:r>
        <w:rPr>
          <w:rFonts w:ascii="Times New Roman"/>
          <w:b w:val="false"/>
          <w:i w:val="false"/>
          <w:color w:val="000000"/>
          <w:sz w:val="28"/>
        </w:rPr>
        <w:t xml:space="preserve"> изложить в новой редакции:</w:t>
      </w:r>
    </w:p>
    <w:bookmarkEnd w:id="2"/>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"9. На созыв собрания приглашаются представители аппарата акима Темирского района (города областного значения),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(города областного значения), представители средств массовой информации и общественных объединений.</w:t>
      </w:r>
    </w:p>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Start w:name="z7" w:id="3"/>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11</w:t>
      </w:r>
      <w:r>
        <w:rPr>
          <w:rFonts w:ascii="Times New Roman"/>
          <w:b w:val="false"/>
          <w:i w:val="false"/>
          <w:color w:val="000000"/>
          <w:sz w:val="28"/>
        </w:rPr>
        <w:t xml:space="preserve"> изложить в новой редакции:</w:t>
      </w:r>
    </w:p>
    <w:bookmarkEnd w:id="3"/>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"12.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p>
      <w:pPr>
        <w:spacing w:after="0"/>
        <w:ind w:left="0"/>
        <w:jc w:val="both"/>
      </w:pPr>
      <w:r>
        <w:rPr>
          <w:rFonts w:ascii="Times New Roman"/>
          <w:b w:val="false"/>
          <w:i w:val="false"/>
          <w:color w:val="000000"/>
          <w:sz w:val="28"/>
        </w:rPr>
        <w:t>
      13.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Темирского района.</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Темирского района и маслихата Темирского района (города областного значения)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Аким Темирского района после предварительного обсуждения и его решения на ближайшем заседании маслихата Темирского района (города областного значения) вопросов, вызвавших несогласие между акимом сельского округа и собрания местного сообщества в порядке предусмотренным статьей 11 Закона, принимает решение в течение пяти рабочих дней.".</w:t>
      </w:r>
    </w:p>
    <w:bookmarkStart w:name="z9" w:id="4"/>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Темирского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