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9263" w14:textId="92b9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Райымбекскому району на 2021-2022 годы</w:t>
      </w:r>
    </w:p>
    <w:p>
      <w:pPr>
        <w:spacing w:after="0"/>
        <w:ind w:left="0"/>
        <w:jc w:val="both"/>
      </w:pPr>
      <w:r>
        <w:rPr>
          <w:rFonts w:ascii="Times New Roman"/>
          <w:b w:val="false"/>
          <w:i w:val="false"/>
          <w:color w:val="000000"/>
          <w:sz w:val="28"/>
        </w:rPr>
        <w:t>Решение Райымбекского районного маслихата Алматинской области от 2 сентября 2021 года № 10-49</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20 февраля 2017 года "О пастбищах", Райымбекский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по Райымбекскому району на 2021-2022 годы согласно приложениям 1,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Контроль над исполнением настоящего решения возложить на постоянную комиссию Райымбекского районного маслихата "По инновационному развитию, промышленности, строительству, транспорту, коммуникациям, энергетике, жилищно-коммунальному хозяйству, сельскому хозяйству и регулированию земельных отношений, охране окружающей среды, эффективному использованию природных ресурсов".</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Райымбекского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Е.Кудабаев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Райымбекского районного маслихата от "9 "августа 2021 года № 10-49 Приложение 2</w:t>
            </w:r>
          </w:p>
        </w:tc>
      </w:tr>
    </w:tbl>
    <w:bookmarkStart w:name="z12" w:id="3"/>
    <w:p>
      <w:pPr>
        <w:spacing w:after="0"/>
        <w:ind w:left="0"/>
        <w:jc w:val="left"/>
      </w:pPr>
      <w:r>
        <w:rPr>
          <w:rFonts w:ascii="Times New Roman"/>
          <w:b/>
          <w:i w:val="false"/>
          <w:color w:val="000000"/>
        </w:rPr>
        <w:t xml:space="preserve"> Схема (карта) расположения пастбищ на территории Райымбекского района в разрезе категорий земель, собственников земельных участков и землепользователей на основании правоустанавливающих документов</w:t>
      </w:r>
    </w:p>
    <w:bookmarkEnd w:id="3"/>
    <w:bookmarkStart w:name="z13"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Райымбекского районного маслихата от "9 "августа 2021 года № 10-49 Приложение 3</w:t>
            </w:r>
          </w:p>
        </w:tc>
      </w:tr>
    </w:tbl>
    <w:bookmarkStart w:name="z15" w:id="5"/>
    <w:p>
      <w:pPr>
        <w:spacing w:after="0"/>
        <w:ind w:left="0"/>
        <w:jc w:val="left"/>
      </w:pPr>
      <w:r>
        <w:rPr>
          <w:rFonts w:ascii="Times New Roman"/>
          <w:b/>
          <w:i w:val="false"/>
          <w:color w:val="000000"/>
        </w:rPr>
        <w:t xml:space="preserve">  Приемлемые схемы пастбищеоборотов</w:t>
      </w:r>
    </w:p>
    <w:bookmarkEnd w:id="5"/>
    <w:bookmarkStart w:name="z16"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xml:space="preserve">
       </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Райымбекского районного маслихата от "9 "августа 2021 года № 10-49 Приложение 4</w:t>
            </w:r>
          </w:p>
        </w:tc>
      </w:tr>
    </w:tbl>
    <w:bookmarkStart w:name="z19" w:id="8"/>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8"/>
    <w:bookmarkStart w:name="z20"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00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Райымбекского районного маслихата от "9 "августа 2021 года №10-49 Приложение 5</w:t>
            </w:r>
          </w:p>
        </w:tc>
      </w:tr>
    </w:tbl>
    <w:bookmarkStart w:name="z22" w:id="10"/>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10"/>
    <w:bookmarkStart w:name="z23"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Райымбекского районного маслихата от "9 "августа 2021 года №10-49 Приложение 6</w:t>
            </w:r>
          </w:p>
        </w:tc>
      </w:tr>
    </w:tbl>
    <w:bookmarkStart w:name="z25" w:id="12"/>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12"/>
    <w:bookmarkStart w:name="z26"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Райымбекского районного маслихата от "9 "августа 2021 года №10-49 Приложение 7</w:t>
            </w:r>
          </w:p>
        </w:tc>
      </w:tr>
    </w:tbl>
    <w:bookmarkStart w:name="z28" w:id="14"/>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селе, сельском округе "Об утверждении Плана по управлению</w:t>
      </w:r>
    </w:p>
    <w:bookmarkEnd w:id="14"/>
    <w:bookmarkStart w:name="z29"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Райымбекского районного маслихата от "9 "августа 2021 года № 10-49 Приложение 8</w:t>
            </w:r>
          </w:p>
        </w:tc>
      </w:tr>
    </w:tbl>
    <w:bookmarkStart w:name="z31" w:id="16"/>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9"/>
        <w:gridCol w:w="2501"/>
        <w:gridCol w:w="2198"/>
        <w:gridCol w:w="2199"/>
        <w:gridCol w:w="2503"/>
      </w:tblGrid>
      <w:tr>
        <w:trPr>
          <w:trHeight w:val="30" w:hRule="atLeast"/>
        </w:trPr>
        <w:tc>
          <w:tcPr>
            <w:tcW w:w="2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перегона скота на пастбища и возврата скота из пастбищ</w:t>
            </w:r>
          </w:p>
        </w:tc>
      </w:tr>
      <w:tr>
        <w:trPr>
          <w:trHeight w:val="30" w:hRule="atLeast"/>
        </w:trPr>
        <w:tc>
          <w:tcPr>
            <w:tcW w:w="0" w:type="auto"/>
            <w:vMerge/>
            <w:tcBorders>
              <w:top w:val="nil"/>
              <w:left w:val="single" w:color="cfcfcf" w:sz="5"/>
              <w:bottom w:val="single" w:color="cfcfcf" w:sz="5"/>
              <w:right w:val="single" w:color="cfcfcf" w:sz="5"/>
            </w:tcBorders>
          </w:tc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Осень</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-декада марта ІІ-декада мая</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мая ІІ-декада октября</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октября ІІІ-декада ноября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ІІІ-декада ноября ІІ -декада марта</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марта ІІ-декада мая</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мая ІІ-декада октября</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октября ІІІ-декада ноября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ІІІ-декада ноября ІІ -декада марта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Райымбекского районного маслихата от 9 августа 2021 года № 10-49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Райымбекского районного маслихата от "9" августа 2021 года № 10-49</w:t>
            </w:r>
          </w:p>
        </w:tc>
      </w:tr>
    </w:tbl>
    <w:bookmarkStart w:name="z34" w:id="17"/>
    <w:p>
      <w:pPr>
        <w:spacing w:after="0"/>
        <w:ind w:left="0"/>
        <w:jc w:val="both"/>
      </w:pPr>
      <w:r>
        <w:rPr>
          <w:rFonts w:ascii="Times New Roman"/>
          <w:b w:val="false"/>
          <w:i w:val="false"/>
          <w:color w:val="000000"/>
          <w:sz w:val="28"/>
        </w:rPr>
        <w:t xml:space="preserve">
      УПРАВЛЕНИЕ И ИСПОЛЬЗОВАНИЕ ПАСТБИЩ НА 2021-2022 ГОДЫ ПЛАН ДЛЯ Алматинская область Райымбекский район (Постановление Правительства Республики Казахстан от 2017 года" О пастбищах") </w:t>
      </w:r>
      <w:r>
        <w:rPr>
          <w:rFonts w:ascii="Times New Roman"/>
          <w:b w:val="false"/>
          <w:i w:val="false"/>
          <w:color w:val="000000"/>
          <w:sz w:val="28"/>
        </w:rPr>
        <w:t>Закона</w:t>
      </w:r>
      <w:r>
        <w:rPr>
          <w:rFonts w:ascii="Times New Roman"/>
          <w:b w:val="false"/>
          <w:i w:val="false"/>
          <w:color w:val="000000"/>
          <w:sz w:val="28"/>
        </w:rPr>
        <w:t xml:space="preserve"> от 20 февраля г. №47) 2021 год</w:t>
      </w:r>
    </w:p>
    <w:bookmarkEnd w:id="17"/>
    <w:bookmarkStart w:name="z35" w:id="18"/>
    <w:p>
      <w:pPr>
        <w:spacing w:after="0"/>
        <w:ind w:left="0"/>
        <w:jc w:val="left"/>
      </w:pPr>
      <w:r>
        <w:rPr>
          <w:rFonts w:ascii="Times New Roman"/>
          <w:b/>
          <w:i w:val="false"/>
          <w:color w:val="000000"/>
        </w:rPr>
        <w:t xml:space="preserve"> 1. Общие данные, характеристика Райымбекского района</w:t>
      </w:r>
    </w:p>
    <w:bookmarkEnd w:id="18"/>
    <w:bookmarkStart w:name="z36" w:id="19"/>
    <w:p>
      <w:pPr>
        <w:spacing w:after="0"/>
        <w:ind w:left="0"/>
        <w:jc w:val="both"/>
      </w:pPr>
      <w:r>
        <w:rPr>
          <w:rFonts w:ascii="Times New Roman"/>
          <w:b w:val="false"/>
          <w:i w:val="false"/>
          <w:color w:val="000000"/>
          <w:sz w:val="28"/>
        </w:rPr>
        <w:t>
      Райымбекский район расположен на юго-востоке Алматинской области. В южной части региона расположена система горных хребтов Терскей Алатау. Абсолютная высота горных вершин до 7010 метров над уровнем моря. Самая высокая точка-пик Хан-Тенгри, расположенный на границе Казахстана и Кыргызстана. Крупнейшие реки региона-Текес, Шалкоде, кепке, Байынкол с многочисленными притоками. Территория Райымбекского района по категории земель представлена в таблице №1.</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3147"/>
        <w:gridCol w:w="4025"/>
        <w:gridCol w:w="4025"/>
      </w:tblGrid>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земель</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пастбища</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сельскохозяйственного назначения, всего</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244940</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165154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населенных пунктов</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30657</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промышленности, транспорта, связи и другого несельскохозяйственного назначения</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247411</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163140</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лесного фонда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186989</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91373</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711937</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442467</w:t>
            </w:r>
          </w:p>
        </w:tc>
      </w:tr>
    </w:tbl>
    <w:bookmarkStart w:name="z38" w:id="20"/>
    <w:p>
      <w:pPr>
        <w:spacing w:after="0"/>
        <w:ind w:left="0"/>
        <w:jc w:val="both"/>
      </w:pPr>
      <w:r>
        <w:rPr>
          <w:rFonts w:ascii="Times New Roman"/>
          <w:b w:val="false"/>
          <w:i w:val="false"/>
          <w:color w:val="000000"/>
          <w:sz w:val="28"/>
        </w:rPr>
        <w:t>
      Климат континентальный. Зима прохладная. Лето жаркое и засушливое.Среднегодовое количество осадков 110-250мм.</w:t>
      </w:r>
    </w:p>
    <w:bookmarkEnd w:id="20"/>
    <w:bookmarkStart w:name="z39" w:id="21"/>
    <w:p>
      <w:pPr>
        <w:spacing w:after="0"/>
        <w:ind w:left="0"/>
        <w:jc w:val="left"/>
      </w:pPr>
      <w:r>
        <w:rPr>
          <w:rFonts w:ascii="Times New Roman"/>
          <w:b/>
          <w:i w:val="false"/>
          <w:color w:val="000000"/>
        </w:rPr>
        <w:t xml:space="preserve"> Район состоит из 11 сельских округов.</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 наименование села,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 наименование села, населенного пункта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Нарынкольский сельский округ Нарынкол, Костобе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Нарынкол, Костобе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Текесский сельский округ новый Текес, Текес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Текес, Текес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Тегистикский сельский округ Тегистик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Тегистик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Сарыбастауский сельский округ Узак батыр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Узак батыр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сельский округ Жамбыл, Каратоган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Каратоган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Какпакский сельский округ Какпак, Кокбель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Какпак, Кокбель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Кайнарский сельский округ Кайнар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Сумбинский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Қызылшекара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Ақбейіт, Көмірші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Карасазский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Тұзкөл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Шалкодинский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Шәлкөде, Талас</w:t>
            </w:r>
          </w:p>
        </w:tc>
      </w:tr>
    </w:tbl>
    <w:bookmarkStart w:name="z41" w:id="22"/>
    <w:p>
      <w:pPr>
        <w:spacing w:after="0"/>
        <w:ind w:left="0"/>
        <w:jc w:val="both"/>
      </w:pPr>
      <w:r>
        <w:rPr>
          <w:rFonts w:ascii="Times New Roman"/>
          <w:b w:val="false"/>
          <w:i w:val="false"/>
          <w:color w:val="000000"/>
          <w:sz w:val="28"/>
        </w:rPr>
        <w:t>
      Численность населения Райымбекского района составляет 35422 человека, в разрезе сел и сельских округов представлена в таблице №3.</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таблица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7"/>
        <w:gridCol w:w="2863"/>
        <w:gridCol w:w="5960"/>
      </w:tblGrid>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чел.</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Нарынкольский сельский округ</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Текесский сельский округ</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Тегистикский сельский округ</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сельский округ</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Какпакский сельский округ</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Кайнарский сельский округ</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Сумбинский сельский округ</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Сарыжазский сельский округ</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Карасазский сельский округ</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Шалкодинский сельский округ</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Узак батырский сельский округ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r>
    </w:tbl>
    <w:bookmarkStart w:name="z43" w:id="23"/>
    <w:p>
      <w:pPr>
        <w:spacing w:after="0"/>
        <w:ind w:left="0"/>
        <w:jc w:val="both"/>
      </w:pPr>
      <w:r>
        <w:rPr>
          <w:rFonts w:ascii="Times New Roman"/>
          <w:b w:val="false"/>
          <w:i w:val="false"/>
          <w:color w:val="000000"/>
          <w:sz w:val="28"/>
        </w:rPr>
        <w:t>
      Основной вид деятельности сельскохозяйственных предприятий — развитие животноводства и растениеводства и осуществление производства продукции. В районе зарегистрировано 2245 крестьянских хозяйств. Из них животноводством занимаются 454 крестьянских хозяйства, растениеводством-1227 крестьянских хозяйств. 131 крестьянское хозяйство принимает участие в селекционном развитии.</w:t>
      </w:r>
    </w:p>
    <w:bookmarkEnd w:id="23"/>
    <w:bookmarkStart w:name="z44" w:id="24"/>
    <w:p>
      <w:pPr>
        <w:spacing w:after="0"/>
        <w:ind w:left="0"/>
        <w:jc w:val="left"/>
      </w:pPr>
      <w:r>
        <w:rPr>
          <w:rFonts w:ascii="Times New Roman"/>
          <w:b/>
          <w:i w:val="false"/>
          <w:color w:val="000000"/>
        </w:rPr>
        <w:t xml:space="preserve"> 2. Учет поголовья, учет условного поголовья</w:t>
      </w:r>
    </w:p>
    <w:bookmarkEnd w:id="24"/>
    <w:bookmarkStart w:name="z45" w:id="25"/>
    <w:p>
      <w:pPr>
        <w:spacing w:after="0"/>
        <w:ind w:left="0"/>
        <w:jc w:val="both"/>
      </w:pPr>
      <w:r>
        <w:rPr>
          <w:rFonts w:ascii="Times New Roman"/>
          <w:b w:val="false"/>
          <w:i w:val="false"/>
          <w:color w:val="000000"/>
          <w:sz w:val="28"/>
        </w:rPr>
        <w:t>
      Для удобства составления различных расчетов по выпасу скота используется условная единица для сравнения или сомализации различных животных животных.</w:t>
      </w:r>
    </w:p>
    <w:bookmarkEnd w:id="25"/>
    <w:bookmarkStart w:name="z46" w:id="26"/>
    <w:p>
      <w:pPr>
        <w:spacing w:after="0"/>
        <w:ind w:left="0"/>
        <w:jc w:val="both"/>
      </w:pPr>
      <w:r>
        <w:rPr>
          <w:rFonts w:ascii="Times New Roman"/>
          <w:b w:val="false"/>
          <w:i w:val="false"/>
          <w:color w:val="000000"/>
          <w:sz w:val="28"/>
        </w:rPr>
        <w:t>
      Условное поголовье-единица, используемая для сравнения различных категорий и видов животных. Эквивалентность определяется исходя из потребности животных в кормах.</w:t>
      </w:r>
    </w:p>
    <w:bookmarkEnd w:id="26"/>
    <w:bookmarkStart w:name="z47" w:id="27"/>
    <w:p>
      <w:pPr>
        <w:spacing w:after="0"/>
        <w:ind w:left="0"/>
        <w:jc w:val="both"/>
      </w:pPr>
      <w:r>
        <w:rPr>
          <w:rFonts w:ascii="Times New Roman"/>
          <w:b w:val="false"/>
          <w:i w:val="false"/>
          <w:color w:val="000000"/>
          <w:sz w:val="28"/>
        </w:rPr>
        <w:t>
      Коэффициент пересчета на условное поголовье представлен в таблице №4.</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таблица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7954"/>
      </w:tblGrid>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9" w:id="28"/>
    <w:p>
      <w:pPr>
        <w:spacing w:after="0"/>
        <w:ind w:left="0"/>
        <w:jc w:val="both"/>
      </w:pPr>
      <w:r>
        <w:rPr>
          <w:rFonts w:ascii="Times New Roman"/>
          <w:b w:val="false"/>
          <w:i w:val="false"/>
          <w:color w:val="000000"/>
          <w:sz w:val="28"/>
        </w:rPr>
        <w:t>
      Данные о численности сельскохозяйственных животных в разрезе сел и сельских округов, владельцев представлены в таблице №5.</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таблица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566"/>
        <w:gridCol w:w="2521"/>
        <w:gridCol w:w="2521"/>
        <w:gridCol w:w="2521"/>
        <w:gridCol w:w="2955"/>
      </w:tblGrid>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скота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хозяйство</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16431</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Шәлкөде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32608</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батыр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24188</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232647</w:t>
            </w:r>
          </w:p>
        </w:tc>
      </w:tr>
    </w:tbl>
    <w:bookmarkStart w:name="z51" w:id="29"/>
    <w:p>
      <w:pPr>
        <w:spacing w:after="0"/>
        <w:ind w:left="0"/>
        <w:jc w:val="both"/>
      </w:pPr>
      <w:r>
        <w:rPr>
          <w:rFonts w:ascii="Times New Roman"/>
          <w:b w:val="false"/>
          <w:i w:val="false"/>
          <w:color w:val="000000"/>
          <w:sz w:val="28"/>
        </w:rPr>
        <w:t>
      продолжение таблицы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8"/>
        <w:gridCol w:w="2786"/>
        <w:gridCol w:w="2378"/>
        <w:gridCol w:w="2379"/>
        <w:gridCol w:w="23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хозяйство</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хозяйство</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w:t>
            </w:r>
          </w:p>
        </w:tc>
      </w:tr>
    </w:tbl>
    <w:bookmarkStart w:name="z52" w:id="30"/>
    <w:p>
      <w:pPr>
        <w:spacing w:after="0"/>
        <w:ind w:left="0"/>
        <w:jc w:val="left"/>
      </w:pPr>
      <w:r>
        <w:rPr>
          <w:rFonts w:ascii="Times New Roman"/>
          <w:b/>
          <w:i w:val="false"/>
          <w:color w:val="000000"/>
        </w:rPr>
        <w:t xml:space="preserve"> 3. Геоботаника</w:t>
      </w:r>
    </w:p>
    <w:bookmarkEnd w:id="30"/>
    <w:bookmarkStart w:name="z53" w:id="31"/>
    <w:p>
      <w:pPr>
        <w:spacing w:after="0"/>
        <w:ind w:left="0"/>
        <w:jc w:val="both"/>
      </w:pPr>
      <w:r>
        <w:rPr>
          <w:rFonts w:ascii="Times New Roman"/>
          <w:b w:val="false"/>
          <w:i w:val="false"/>
          <w:color w:val="000000"/>
          <w:sz w:val="28"/>
        </w:rPr>
        <w:t>
      В Райымбекском районе насчитывается более 180 видов растений, относящихся к 40 семействам. Наиболее распространены растения из семейства злаковые, сложные, квадратные. Зерновые угодья Райымбекского района расположены в зоне каштановых и светло-каштановых почв, формирование которых зависит от специфики природных условий: континентального засушливого климата, разреженного растительного покрова с преобладанием супесчаных травянистых злаковых растений, и темно-каштановых почв, территория района расположена в зоне сухих степей разнотравно-бело-ковыльных групп. В долине реки встречаются луговые, лугово-болотные и пойменные почвы.</w:t>
      </w:r>
    </w:p>
    <w:bookmarkEnd w:id="31"/>
    <w:bookmarkStart w:name="z54" w:id="32"/>
    <w:p>
      <w:pPr>
        <w:spacing w:after="0"/>
        <w:ind w:left="0"/>
        <w:jc w:val="both"/>
      </w:pPr>
      <w:r>
        <w:rPr>
          <w:rFonts w:ascii="Times New Roman"/>
          <w:b w:val="false"/>
          <w:i w:val="false"/>
          <w:color w:val="000000"/>
          <w:sz w:val="28"/>
        </w:rPr>
        <w:t>
      В связи с тем, что на территории Райымбекского района наблюдается разнообразие природных условий, кроме Степной, в пойме рек Текес, Байынкол, Шалкоде, Каппак и др. широко распространены группы луговых растений. На каштановых почвах и светло-каштановых пастбищах естественная растительность представлена почвенно – полынной ассоциацией. Особенностью растительного покрова Райымбекского района является дерново-злаковое (селеу, овес, бетеге).</w:t>
      </w:r>
    </w:p>
    <w:bookmarkEnd w:id="32"/>
    <w:bookmarkStart w:name="z55" w:id="33"/>
    <w:p>
      <w:pPr>
        <w:spacing w:after="0"/>
        <w:ind w:left="0"/>
        <w:jc w:val="both"/>
      </w:pPr>
      <w:r>
        <w:rPr>
          <w:rFonts w:ascii="Times New Roman"/>
          <w:b w:val="false"/>
          <w:i w:val="false"/>
          <w:color w:val="000000"/>
          <w:sz w:val="28"/>
        </w:rPr>
        <w:t>
      Пастбища столкнулись с нерегулярным выпасом и из-за частого выпаса видоизменяется растительный покров вышеназванных хлебных угодий. Как наиболее приспособленные к выпасу полевые культуры выходят из травянистого состава, в растительном покрове произрастают сорные травы и полынь. Из культур наиболее устойчива к выпасу бетеге: она хорошо растет после вытаптывания скота. Из-за нерационального выпаса снижается продуктивность пастбищ. Сезон использования сокращается. Для сохранения качественного состава сена, состоящего из различных видов культур, необходимо использовать зерновые угодья в системе пастбищеоборота при нормальной нагрузке скота. Необходимо наладить выпас на таких пастбищах, внедрить систему откачки.</w:t>
      </w:r>
    </w:p>
    <w:bookmarkEnd w:id="33"/>
    <w:bookmarkStart w:name="z56" w:id="34"/>
    <w:p>
      <w:pPr>
        <w:spacing w:after="0"/>
        <w:ind w:left="0"/>
        <w:jc w:val="both"/>
      </w:pPr>
      <w:r>
        <w:rPr>
          <w:rFonts w:ascii="Times New Roman"/>
          <w:b w:val="false"/>
          <w:i w:val="false"/>
          <w:color w:val="000000"/>
          <w:sz w:val="28"/>
        </w:rPr>
        <w:t>
      Злаковые и бобовые-это многолетние и однолетние травы, являющиеся основными травами естественных пастбищ. У большинства злаковых растений преимущество выше. Важное значение со стороны зерна имеют бобовые-клевер, донник, люцерна. Бобовые отличаются высокой питательностью, хорошей выветриваемостью период цветения большинства бобовых растений длительный, после цветения и при семенном размножении они менее закалены и выветриваются лучше зерен, обеспечивают животноводство высоким белковым зерном и повышают урожайность почвы. Но необходимо учитывать, что в этом семействе много ядовитых растений.</w:t>
      </w:r>
    </w:p>
    <w:bookmarkEnd w:id="34"/>
    <w:bookmarkStart w:name="z57" w:id="35"/>
    <w:p>
      <w:pPr>
        <w:spacing w:after="0"/>
        <w:ind w:left="0"/>
        <w:jc w:val="both"/>
      </w:pPr>
      <w:r>
        <w:rPr>
          <w:rFonts w:ascii="Times New Roman"/>
          <w:b w:val="false"/>
          <w:i w:val="false"/>
          <w:color w:val="000000"/>
          <w:sz w:val="28"/>
        </w:rPr>
        <w:t>
      В посевах сена и пастбищном зерне содержание сена иногда составляет 60-70%. Многие виды растений внутри этой группы имеют важное зерновое значение. Все виды растений по своему хозяйственному значению и использованию можно разделить на следующие виды:</w:t>
      </w:r>
    </w:p>
    <w:bookmarkEnd w:id="35"/>
    <w:bookmarkStart w:name="z58" w:id="36"/>
    <w:p>
      <w:pPr>
        <w:spacing w:after="0"/>
        <w:ind w:left="0"/>
        <w:jc w:val="both"/>
      </w:pPr>
      <w:r>
        <w:rPr>
          <w:rFonts w:ascii="Times New Roman"/>
          <w:b w:val="false"/>
          <w:i w:val="false"/>
          <w:color w:val="000000"/>
          <w:sz w:val="28"/>
        </w:rPr>
        <w:t>
      1) Семена мягких стеблей-боз, бетеге, пшеница, ячмень и др.;</w:t>
      </w:r>
    </w:p>
    <w:bookmarkEnd w:id="36"/>
    <w:bookmarkStart w:name="z59" w:id="37"/>
    <w:p>
      <w:pPr>
        <w:spacing w:after="0"/>
        <w:ind w:left="0"/>
        <w:jc w:val="both"/>
      </w:pPr>
      <w:r>
        <w:rPr>
          <w:rFonts w:ascii="Times New Roman"/>
          <w:b w:val="false"/>
          <w:i w:val="false"/>
          <w:color w:val="000000"/>
          <w:sz w:val="28"/>
        </w:rPr>
        <w:t>
      2) плохо выветривающиеся и не выветривающиеся сорняки-трава эстрагона, полынь горькая, полынь высокая, полынь голубоватая;</w:t>
      </w:r>
    </w:p>
    <w:bookmarkEnd w:id="37"/>
    <w:bookmarkStart w:name="z60" w:id="38"/>
    <w:p>
      <w:pPr>
        <w:spacing w:after="0"/>
        <w:ind w:left="0"/>
        <w:jc w:val="both"/>
      </w:pPr>
      <w:r>
        <w:rPr>
          <w:rFonts w:ascii="Times New Roman"/>
          <w:b w:val="false"/>
          <w:i w:val="false"/>
          <w:color w:val="000000"/>
          <w:sz w:val="28"/>
        </w:rPr>
        <w:t>
      3) растительность разнотравная-бобовые, сортовые бахчевые, кандышоп лекарственный;</w:t>
      </w:r>
    </w:p>
    <w:bookmarkEnd w:id="38"/>
    <w:bookmarkStart w:name="z61" w:id="39"/>
    <w:p>
      <w:pPr>
        <w:spacing w:after="0"/>
        <w:ind w:left="0"/>
        <w:jc w:val="both"/>
      </w:pPr>
      <w:r>
        <w:rPr>
          <w:rFonts w:ascii="Times New Roman"/>
          <w:b w:val="false"/>
          <w:i w:val="false"/>
          <w:color w:val="000000"/>
          <w:sz w:val="28"/>
        </w:rPr>
        <w:t>
      В результате геоботанического исследования установлено, что пастбищные угодья используются нерационально, отдельные пастбища уничтожаются на уровне отклонений. При использовании пастбищ допускается выпас скота на незасушенной почве, в результате чего образуются бугры. Большая часть пастбищ из-за нерегулярного обильного выпаса заросла слабо выветривающимися травами полыни и сена с твердыми стеблями, в результате чего резко снизилась их зернофуражность, снизилась урожайность сухой выветривающейся растительной массы с полей единиц на пастбищах. Сокращается сезон использования пастбищ.Оптимальный срок использования естественных пастбищ в степной зоне в Райымбекском районе-весенний, летний, осенний период. С весны скот поедает злаки и раннецветущую траву, затем после выпаса зерна снова прорастают, дают ему подзатыльник и перезимовывают его.</w:t>
      </w:r>
    </w:p>
    <w:bookmarkEnd w:id="39"/>
    <w:bookmarkStart w:name="z62" w:id="40"/>
    <w:p>
      <w:pPr>
        <w:spacing w:after="0"/>
        <w:ind w:left="0"/>
        <w:jc w:val="both"/>
      </w:pPr>
      <w:r>
        <w:rPr>
          <w:rFonts w:ascii="Times New Roman"/>
          <w:b w:val="false"/>
          <w:i w:val="false"/>
          <w:color w:val="000000"/>
          <w:sz w:val="28"/>
        </w:rPr>
        <w:t>
      Рациональное использование пастбищ и сенокосов особенно важно при правильном использовании пастбищных угодий сильно возрастает их продуктивность.</w:t>
      </w:r>
    </w:p>
    <w:bookmarkEnd w:id="40"/>
    <w:bookmarkStart w:name="z63" w:id="41"/>
    <w:p>
      <w:pPr>
        <w:spacing w:after="0"/>
        <w:ind w:left="0"/>
        <w:jc w:val="left"/>
      </w:pPr>
      <w:r>
        <w:rPr>
          <w:rFonts w:ascii="Times New Roman"/>
          <w:b/>
          <w:i w:val="false"/>
          <w:color w:val="000000"/>
        </w:rPr>
        <w:t xml:space="preserve"> 4 Корма для животных</w:t>
      </w:r>
    </w:p>
    <w:bookmarkEnd w:id="41"/>
    <w:bookmarkStart w:name="z64" w:id="42"/>
    <w:p>
      <w:pPr>
        <w:spacing w:after="0"/>
        <w:ind w:left="0"/>
        <w:jc w:val="both"/>
      </w:pPr>
      <w:r>
        <w:rPr>
          <w:rFonts w:ascii="Times New Roman"/>
          <w:b w:val="false"/>
          <w:i w:val="false"/>
          <w:color w:val="000000"/>
          <w:sz w:val="28"/>
        </w:rPr>
        <w:t>
      Кормопроизводство-ведущая многопрофильная и связующая отрасль сельского хозяйства, во многом определяющая состояние животноводства и оказывающая важное влияние на решение ключевых проблем растениеводства, дальнейшего развития растениеводства, рационального природопользования, повышения устойчивости агросистем и агроландшафтов к влиянию погодных и негативных процессов, сохранения значимых сельскохозяйственных угодий и повышения продуктивности почв, улучшения экологического состояния территории района и охраны окружающей среды.</w:t>
      </w:r>
    </w:p>
    <w:bookmarkEnd w:id="42"/>
    <w:bookmarkStart w:name="z65" w:id="43"/>
    <w:p>
      <w:pPr>
        <w:spacing w:after="0"/>
        <w:ind w:left="0"/>
        <w:jc w:val="both"/>
      </w:pPr>
      <w:r>
        <w:rPr>
          <w:rFonts w:ascii="Times New Roman"/>
          <w:b w:val="false"/>
          <w:i w:val="false"/>
          <w:color w:val="000000"/>
          <w:sz w:val="28"/>
        </w:rPr>
        <w:t>
      Основным кормом животных на территории Райымбекского района является пастбищный, зерновой, природный и сев. На одну голову крупного рогатого скота приходится 2,5 гектара пастбищ, что при средней урожайности зеленой массы составляет 4-5 т / га., они обеспечивают животных пастбищами, зерном.</w:t>
      </w:r>
    </w:p>
    <w:bookmarkEnd w:id="43"/>
    <w:bookmarkStart w:name="z66" w:id="44"/>
    <w:p>
      <w:pPr>
        <w:spacing w:after="0"/>
        <w:ind w:left="0"/>
        <w:jc w:val="both"/>
      </w:pPr>
      <w:r>
        <w:rPr>
          <w:rFonts w:ascii="Times New Roman"/>
          <w:b w:val="false"/>
          <w:i w:val="false"/>
          <w:color w:val="000000"/>
          <w:sz w:val="28"/>
        </w:rPr>
        <w:t>
      Данные о средней урожайности зерновых культур на территории Райымбекского района представлены в таблице №6.</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таблица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0"/>
        <w:gridCol w:w="1935"/>
        <w:gridCol w:w="2680"/>
        <w:gridCol w:w="5005"/>
      </w:tblGrid>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Посевы</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т / га</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Райымбекский район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корма</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многолетних трав</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Травы естественных угодий</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68" w:id="45"/>
    <w:p>
      <w:pPr>
        <w:spacing w:after="0"/>
        <w:ind w:left="0"/>
        <w:jc w:val="both"/>
      </w:pPr>
      <w:r>
        <w:rPr>
          <w:rFonts w:ascii="Times New Roman"/>
          <w:b w:val="false"/>
          <w:i w:val="false"/>
          <w:color w:val="000000"/>
          <w:sz w:val="28"/>
        </w:rPr>
        <w:t>
      Основные проблемы отрасли кормопроизводства:</w:t>
      </w:r>
    </w:p>
    <w:bookmarkEnd w:id="45"/>
    <w:bookmarkStart w:name="z69" w:id="46"/>
    <w:p>
      <w:pPr>
        <w:spacing w:after="0"/>
        <w:ind w:left="0"/>
        <w:jc w:val="both"/>
      </w:pPr>
      <w:r>
        <w:rPr>
          <w:rFonts w:ascii="Times New Roman"/>
          <w:b w:val="false"/>
          <w:i w:val="false"/>
          <w:color w:val="000000"/>
          <w:sz w:val="28"/>
        </w:rPr>
        <w:t>
      - Низкая продуктивность кормовых культур;</w:t>
      </w:r>
    </w:p>
    <w:bookmarkEnd w:id="46"/>
    <w:bookmarkStart w:name="z70" w:id="47"/>
    <w:p>
      <w:pPr>
        <w:spacing w:after="0"/>
        <w:ind w:left="0"/>
        <w:jc w:val="both"/>
      </w:pPr>
      <w:r>
        <w:rPr>
          <w:rFonts w:ascii="Times New Roman"/>
          <w:b w:val="false"/>
          <w:i w:val="false"/>
          <w:color w:val="000000"/>
          <w:sz w:val="28"/>
        </w:rPr>
        <w:t>
      - низкая обеспеченность современной кормоуборочной и кормозаготовительной техникой;</w:t>
      </w:r>
    </w:p>
    <w:bookmarkEnd w:id="47"/>
    <w:bookmarkStart w:name="z71" w:id="48"/>
    <w:p>
      <w:pPr>
        <w:spacing w:after="0"/>
        <w:ind w:left="0"/>
        <w:jc w:val="both"/>
      </w:pPr>
      <w:r>
        <w:rPr>
          <w:rFonts w:ascii="Times New Roman"/>
          <w:b w:val="false"/>
          <w:i w:val="false"/>
          <w:color w:val="000000"/>
          <w:sz w:val="28"/>
        </w:rPr>
        <w:t>
      - низкий уровень использования пастбищ и сенокосов;</w:t>
      </w:r>
    </w:p>
    <w:bookmarkEnd w:id="48"/>
    <w:bookmarkStart w:name="z72" w:id="49"/>
    <w:p>
      <w:pPr>
        <w:spacing w:after="0"/>
        <w:ind w:left="0"/>
        <w:jc w:val="both"/>
      </w:pPr>
      <w:r>
        <w:rPr>
          <w:rFonts w:ascii="Times New Roman"/>
          <w:b w:val="false"/>
          <w:i w:val="false"/>
          <w:color w:val="000000"/>
          <w:sz w:val="28"/>
        </w:rPr>
        <w:t>
      - отсутствие у землепользователей специальной программы развития кормопроизводства.</w:t>
      </w:r>
    </w:p>
    <w:bookmarkEnd w:id="49"/>
    <w:bookmarkStart w:name="z73" w:id="50"/>
    <w:p>
      <w:pPr>
        <w:spacing w:after="0"/>
        <w:ind w:left="0"/>
        <w:jc w:val="left"/>
      </w:pPr>
      <w:r>
        <w:rPr>
          <w:rFonts w:ascii="Times New Roman"/>
          <w:b/>
          <w:i w:val="false"/>
          <w:color w:val="000000"/>
        </w:rPr>
        <w:t xml:space="preserve"> 5. Пастбищный оборот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232"/>
        <w:gridCol w:w="2597"/>
        <w:gridCol w:w="2597"/>
        <w:gridCol w:w="2598"/>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отгона животных на пастбища и возврата с пастбищ</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1"/>
          <w:p>
            <w:pPr>
              <w:spacing w:after="20"/>
              <w:ind w:left="20"/>
              <w:jc w:val="both"/>
            </w:pPr>
            <w:r>
              <w:rPr>
                <w:rFonts w:ascii="Times New Roman"/>
                <w:b w:val="false"/>
                <w:i w:val="false"/>
                <w:color w:val="000000"/>
                <w:sz w:val="20"/>
              </w:rPr>
              <w:t>
ІІ декада марта</w:t>
            </w:r>
            <w:r>
              <w:br/>
            </w:r>
            <w:r>
              <w:rPr>
                <w:rFonts w:ascii="Times New Roman"/>
                <w:b w:val="false"/>
                <w:i w:val="false"/>
                <w:color w:val="000000"/>
                <w:sz w:val="20"/>
              </w:rPr>
              <w:t>
ІІ декада мая</w:t>
            </w:r>
          </w:p>
          <w:bookmarkEnd w:id="51"/>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2"/>
          <w:p>
            <w:pPr>
              <w:spacing w:after="20"/>
              <w:ind w:left="20"/>
              <w:jc w:val="both"/>
            </w:pPr>
            <w:r>
              <w:rPr>
                <w:rFonts w:ascii="Times New Roman"/>
                <w:b w:val="false"/>
                <w:i w:val="false"/>
                <w:color w:val="000000"/>
                <w:sz w:val="20"/>
              </w:rPr>
              <w:t>
ІІ декада мая</w:t>
            </w:r>
            <w:r>
              <w:br/>
            </w:r>
            <w:r>
              <w:rPr>
                <w:rFonts w:ascii="Times New Roman"/>
                <w:b w:val="false"/>
                <w:i w:val="false"/>
                <w:color w:val="000000"/>
                <w:sz w:val="20"/>
              </w:rPr>
              <w:t>
II-я декада октября</w:t>
            </w:r>
          </w:p>
          <w:bookmarkEnd w:id="52"/>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3"/>
          <w:p>
            <w:pPr>
              <w:spacing w:after="20"/>
              <w:ind w:left="20"/>
              <w:jc w:val="both"/>
            </w:pPr>
            <w:r>
              <w:rPr>
                <w:rFonts w:ascii="Times New Roman"/>
                <w:b w:val="false"/>
                <w:i w:val="false"/>
                <w:color w:val="000000"/>
                <w:sz w:val="20"/>
              </w:rPr>
              <w:t>
II-я декада октября</w:t>
            </w:r>
            <w:r>
              <w:br/>
            </w:r>
            <w:r>
              <w:rPr>
                <w:rFonts w:ascii="Times New Roman"/>
                <w:b w:val="false"/>
                <w:i w:val="false"/>
                <w:color w:val="000000"/>
                <w:sz w:val="20"/>
              </w:rPr>
              <w:t>
III декада ноября</w:t>
            </w:r>
          </w:p>
          <w:bookmarkEnd w:id="53"/>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4"/>
          <w:p>
            <w:pPr>
              <w:spacing w:after="20"/>
              <w:ind w:left="20"/>
              <w:jc w:val="both"/>
            </w:pPr>
            <w:r>
              <w:rPr>
                <w:rFonts w:ascii="Times New Roman"/>
                <w:b w:val="false"/>
                <w:i w:val="false"/>
                <w:color w:val="000000"/>
                <w:sz w:val="20"/>
              </w:rPr>
              <w:t>
III декада ноября</w:t>
            </w:r>
            <w:r>
              <w:br/>
            </w:r>
            <w:r>
              <w:rPr>
                <w:rFonts w:ascii="Times New Roman"/>
                <w:b w:val="false"/>
                <w:i w:val="false"/>
                <w:color w:val="000000"/>
                <w:sz w:val="20"/>
              </w:rPr>
              <w:t>
ІІ декада марта</w:t>
            </w:r>
          </w:p>
          <w:bookmarkEnd w:id="54"/>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5"/>
          <w:p>
            <w:pPr>
              <w:spacing w:after="20"/>
              <w:ind w:left="20"/>
              <w:jc w:val="both"/>
            </w:pPr>
            <w:r>
              <w:rPr>
                <w:rFonts w:ascii="Times New Roman"/>
                <w:b w:val="false"/>
                <w:i w:val="false"/>
                <w:color w:val="000000"/>
                <w:sz w:val="20"/>
              </w:rPr>
              <w:t>
ІІ декада марта</w:t>
            </w:r>
            <w:r>
              <w:br/>
            </w:r>
            <w:r>
              <w:rPr>
                <w:rFonts w:ascii="Times New Roman"/>
                <w:b w:val="false"/>
                <w:i w:val="false"/>
                <w:color w:val="000000"/>
                <w:sz w:val="20"/>
              </w:rPr>
              <w:t>
ІІ декада мая</w:t>
            </w:r>
          </w:p>
          <w:bookmarkEnd w:id="55"/>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6"/>
          <w:p>
            <w:pPr>
              <w:spacing w:after="20"/>
              <w:ind w:left="20"/>
              <w:jc w:val="both"/>
            </w:pPr>
            <w:r>
              <w:rPr>
                <w:rFonts w:ascii="Times New Roman"/>
                <w:b w:val="false"/>
                <w:i w:val="false"/>
                <w:color w:val="000000"/>
                <w:sz w:val="20"/>
              </w:rPr>
              <w:t>
ІІ декада мая</w:t>
            </w:r>
            <w:r>
              <w:br/>
            </w:r>
            <w:r>
              <w:rPr>
                <w:rFonts w:ascii="Times New Roman"/>
                <w:b w:val="false"/>
                <w:i w:val="false"/>
                <w:color w:val="000000"/>
                <w:sz w:val="20"/>
              </w:rPr>
              <w:t>
II-я декада октября</w:t>
            </w:r>
          </w:p>
          <w:bookmarkEnd w:id="56"/>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7"/>
          <w:p>
            <w:pPr>
              <w:spacing w:after="20"/>
              <w:ind w:left="20"/>
              <w:jc w:val="both"/>
            </w:pPr>
            <w:r>
              <w:rPr>
                <w:rFonts w:ascii="Times New Roman"/>
                <w:b w:val="false"/>
                <w:i w:val="false"/>
                <w:color w:val="000000"/>
                <w:sz w:val="20"/>
              </w:rPr>
              <w:t>
II-я декада октября</w:t>
            </w:r>
            <w:r>
              <w:br/>
            </w:r>
            <w:r>
              <w:rPr>
                <w:rFonts w:ascii="Times New Roman"/>
                <w:b w:val="false"/>
                <w:i w:val="false"/>
                <w:color w:val="000000"/>
                <w:sz w:val="20"/>
              </w:rPr>
              <w:t>
III декада ноября</w:t>
            </w:r>
          </w:p>
          <w:bookmarkEnd w:id="57"/>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8"/>
          <w:p>
            <w:pPr>
              <w:spacing w:after="20"/>
              <w:ind w:left="20"/>
              <w:jc w:val="both"/>
            </w:pPr>
            <w:r>
              <w:rPr>
                <w:rFonts w:ascii="Times New Roman"/>
                <w:b w:val="false"/>
                <w:i w:val="false"/>
                <w:color w:val="000000"/>
                <w:sz w:val="20"/>
              </w:rPr>
              <w:t>
III декада ноября</w:t>
            </w:r>
            <w:r>
              <w:br/>
            </w:r>
            <w:r>
              <w:rPr>
                <w:rFonts w:ascii="Times New Roman"/>
                <w:b w:val="false"/>
                <w:i w:val="false"/>
                <w:color w:val="000000"/>
                <w:sz w:val="20"/>
              </w:rPr>
              <w:t>
ІІ декада марта</w:t>
            </w:r>
          </w:p>
          <w:bookmarkEnd w:id="58"/>
        </w:tc>
      </w:tr>
    </w:tbl>
    <w:bookmarkStart w:name="z82" w:id="59"/>
    <w:p>
      <w:pPr>
        <w:spacing w:after="0"/>
        <w:ind w:left="0"/>
        <w:jc w:val="both"/>
      </w:pPr>
      <w:r>
        <w:rPr>
          <w:rFonts w:ascii="Times New Roman"/>
          <w:b w:val="false"/>
          <w:i w:val="false"/>
          <w:color w:val="000000"/>
          <w:sz w:val="28"/>
        </w:rPr>
        <w:t>
      В целях улучшения продуктивности пастбищ и состава трав организуется пастбищеоборот. Пастбищеоборот-система использования и ухода за пастбищами, направленная на повышение продуктивности пастбищ способом выпаса, отдыха и дежурства сенокоса по годам на приусадебном участке совместно с другими мероприятиями по обновлению и улучшению травы.</w:t>
      </w:r>
    </w:p>
    <w:bookmarkEnd w:id="59"/>
    <w:bookmarkStart w:name="z83" w:id="60"/>
    <w:p>
      <w:pPr>
        <w:spacing w:after="0"/>
        <w:ind w:left="0"/>
        <w:jc w:val="both"/>
      </w:pPr>
      <w:r>
        <w:rPr>
          <w:rFonts w:ascii="Times New Roman"/>
          <w:b w:val="false"/>
          <w:i w:val="false"/>
          <w:color w:val="000000"/>
          <w:sz w:val="28"/>
        </w:rPr>
        <w:t>
      Важную роль в повышении продуктивности пастбищ играет правильная организация их территории, заключающаяся в размещении стадных и стадных участков, летних лагерей, водных комплексов и скотопрогонных трасс.</w:t>
      </w:r>
    </w:p>
    <w:bookmarkEnd w:id="60"/>
    <w:bookmarkStart w:name="z84" w:id="61"/>
    <w:p>
      <w:pPr>
        <w:spacing w:after="0"/>
        <w:ind w:left="0"/>
        <w:jc w:val="both"/>
      </w:pPr>
      <w:r>
        <w:rPr>
          <w:rFonts w:ascii="Times New Roman"/>
          <w:b w:val="false"/>
          <w:i w:val="false"/>
          <w:color w:val="000000"/>
          <w:sz w:val="28"/>
        </w:rPr>
        <w:t>
      На естественных пастбищах предусматривается организация четырехполосного пастбищеоборота со следующими сроками, указанными в таблице №7. №7 таблица</w:t>
      </w:r>
    </w:p>
    <w:bookmarkEnd w:id="61"/>
    <w:bookmarkStart w:name="z85" w:id="62"/>
    <w:p>
      <w:pPr>
        <w:spacing w:after="0"/>
        <w:ind w:left="0"/>
        <w:jc w:val="both"/>
      </w:pPr>
      <w:r>
        <w:rPr>
          <w:rFonts w:ascii="Times New Roman"/>
          <w:b w:val="false"/>
          <w:i w:val="false"/>
          <w:color w:val="000000"/>
          <w:sz w:val="28"/>
        </w:rPr>
        <w:t>
      Данные о численности стада, Отар по видам и возрастно-половым группам сельскохозяйственных животных в разрезе сельского округа представлены в таблице №8.</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таблица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7"/>
        <w:gridCol w:w="2708"/>
        <w:gridCol w:w="5525"/>
      </w:tblGrid>
      <w:tr>
        <w:trPr>
          <w:trHeight w:val="30" w:hRule="atLeast"/>
        </w:trPr>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Стад, Отар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с/о</w:t>
            </w:r>
          </w:p>
        </w:tc>
        <w:tc>
          <w:tcPr>
            <w:tcW w:w="0" w:type="auto"/>
            <w:vMerge/>
            <w:tcBorders>
              <w:top w:val="nil"/>
              <w:left w:val="single" w:color="cfcfcf" w:sz="5"/>
              <w:bottom w:val="single" w:color="cfcfcf" w:sz="5"/>
              <w:right w:val="single" w:color="cfcfcf" w:sz="5"/>
            </w:tcBorders>
          </w:tcP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с/о</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с/о</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с/о</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с/о</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с/о</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с/о</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с/о</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батыр</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с/о</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Шәлкөде с/о</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bl>
    <w:bookmarkStart w:name="z87" w:id="63"/>
    <w:p>
      <w:pPr>
        <w:spacing w:after="0"/>
        <w:ind w:left="0"/>
        <w:jc w:val="left"/>
      </w:pPr>
      <w:r>
        <w:rPr>
          <w:rFonts w:ascii="Times New Roman"/>
          <w:b/>
          <w:i w:val="false"/>
          <w:color w:val="000000"/>
        </w:rPr>
        <w:t xml:space="preserve"> 6. График водопоя, водопоя</w:t>
      </w:r>
    </w:p>
    <w:bookmarkEnd w:id="63"/>
    <w:bookmarkStart w:name="z88" w:id="64"/>
    <w:p>
      <w:pPr>
        <w:spacing w:after="0"/>
        <w:ind w:left="0"/>
        <w:jc w:val="both"/>
      </w:pPr>
      <w:r>
        <w:rPr>
          <w:rFonts w:ascii="Times New Roman"/>
          <w:b w:val="false"/>
          <w:i w:val="false"/>
          <w:color w:val="000000"/>
          <w:sz w:val="28"/>
        </w:rPr>
        <w:t>
      Пункты водопоя располагаются с учетом групп и видов выпаса животных, сезонности использования участков, рельефа местности и т.д. При размещении водоисточников необходимо учитывать удобные подходы к водоему и санитарно-профилактические правила. В этих целях не допускается размещение источников воды на болотных, подтопленных и грязных участках, а также проектирование обслуживания 250 голов крупного рогатого скота или 2000 овец с одного пункта водопоя. Лучше всего, если животные имеют свободный доступ к воде и могут пить в любое время. Лучшими источниками пастбищного водоснабжения являются реки, озера и ручьи с проточной водой. Расчет потребности в воде по виду скота и сезону года составляется по нормам водопользования, установленным для определенной породы животных.</w:t>
      </w:r>
    </w:p>
    <w:bookmarkEnd w:id="64"/>
    <w:bookmarkStart w:name="z89" w:id="65"/>
    <w:p>
      <w:pPr>
        <w:spacing w:after="0"/>
        <w:ind w:left="0"/>
        <w:jc w:val="both"/>
      </w:pPr>
      <w:r>
        <w:rPr>
          <w:rFonts w:ascii="Times New Roman"/>
          <w:b w:val="false"/>
          <w:i w:val="false"/>
          <w:color w:val="000000"/>
          <w:sz w:val="28"/>
        </w:rPr>
        <w:t xml:space="preserve">
      Приказом министра сельского хозяйства РК от 24 апреля 2017 года </w:t>
      </w:r>
      <w:r>
        <w:rPr>
          <w:rFonts w:ascii="Times New Roman"/>
          <w:b w:val="false"/>
          <w:i w:val="false"/>
          <w:color w:val="000000"/>
          <w:sz w:val="28"/>
        </w:rPr>
        <w:t>№173</w:t>
      </w:r>
      <w:r>
        <w:rPr>
          <w:rFonts w:ascii="Times New Roman"/>
          <w:b w:val="false"/>
          <w:i w:val="false"/>
          <w:color w:val="000000"/>
          <w:sz w:val="28"/>
        </w:rPr>
        <w:t xml:space="preserve"> утверждены среднесуточные нормы водопользования по видам сельскохозяйственных животных.</w:t>
      </w:r>
    </w:p>
    <w:bookmarkEnd w:id="65"/>
    <w:bookmarkStart w:name="z90" w:id="66"/>
    <w:p>
      <w:pPr>
        <w:spacing w:after="0"/>
        <w:ind w:left="0"/>
        <w:jc w:val="both"/>
      </w:pPr>
      <w:r>
        <w:rPr>
          <w:rFonts w:ascii="Times New Roman"/>
          <w:b w:val="false"/>
          <w:i w:val="false"/>
          <w:color w:val="000000"/>
          <w:sz w:val="28"/>
        </w:rPr>
        <w:t>
      - 45-60 литров для крупного рогатого скота и лошадей;</w:t>
      </w:r>
    </w:p>
    <w:bookmarkEnd w:id="66"/>
    <w:bookmarkStart w:name="z91" w:id="67"/>
    <w:p>
      <w:pPr>
        <w:spacing w:after="0"/>
        <w:ind w:left="0"/>
        <w:jc w:val="both"/>
      </w:pPr>
      <w:r>
        <w:rPr>
          <w:rFonts w:ascii="Times New Roman"/>
          <w:b w:val="false"/>
          <w:i w:val="false"/>
          <w:color w:val="000000"/>
          <w:sz w:val="28"/>
        </w:rPr>
        <w:t>
      - 25-35 литров для молодняка 1-2 лет;</w:t>
      </w:r>
    </w:p>
    <w:bookmarkEnd w:id="67"/>
    <w:bookmarkStart w:name="z92" w:id="68"/>
    <w:p>
      <w:pPr>
        <w:spacing w:after="0"/>
        <w:ind w:left="0"/>
        <w:jc w:val="both"/>
      </w:pPr>
      <w:r>
        <w:rPr>
          <w:rFonts w:ascii="Times New Roman"/>
          <w:b w:val="false"/>
          <w:i w:val="false"/>
          <w:color w:val="000000"/>
          <w:sz w:val="28"/>
        </w:rPr>
        <w:t>
      - 10-15 литров на молодняк от года;</w:t>
      </w:r>
    </w:p>
    <w:bookmarkEnd w:id="68"/>
    <w:bookmarkStart w:name="z93" w:id="69"/>
    <w:p>
      <w:pPr>
        <w:spacing w:after="0"/>
        <w:ind w:left="0"/>
        <w:jc w:val="both"/>
      </w:pPr>
      <w:r>
        <w:rPr>
          <w:rFonts w:ascii="Times New Roman"/>
          <w:b w:val="false"/>
          <w:i w:val="false"/>
          <w:color w:val="000000"/>
          <w:sz w:val="28"/>
        </w:rPr>
        <w:t>
      - 3-5 литров для овец и коз;</w:t>
      </w:r>
    </w:p>
    <w:bookmarkEnd w:id="69"/>
    <w:bookmarkStart w:name="z94" w:id="70"/>
    <w:p>
      <w:pPr>
        <w:spacing w:after="0"/>
        <w:ind w:left="0"/>
        <w:jc w:val="both"/>
      </w:pPr>
      <w:r>
        <w:rPr>
          <w:rFonts w:ascii="Times New Roman"/>
          <w:b w:val="false"/>
          <w:i w:val="false"/>
          <w:color w:val="000000"/>
          <w:sz w:val="28"/>
        </w:rPr>
        <w:t>
      -1-2 литра на ягненка.</w:t>
      </w:r>
    </w:p>
    <w:bookmarkEnd w:id="70"/>
    <w:bookmarkStart w:name="z95" w:id="71"/>
    <w:p>
      <w:pPr>
        <w:spacing w:after="0"/>
        <w:ind w:left="0"/>
        <w:jc w:val="both"/>
      </w:pPr>
      <w:r>
        <w:rPr>
          <w:rFonts w:ascii="Times New Roman"/>
          <w:b w:val="false"/>
          <w:i w:val="false"/>
          <w:color w:val="000000"/>
          <w:sz w:val="28"/>
        </w:rPr>
        <w:t>
      Допустимое расстояние до водоема для пастбищ и коров-1,5 км, для телят – 1 км, для молодняка крупного рогатого скота – 2,5 км, для овец и коз-3 км, для лошадей и верблюдов-4,6 км.</w:t>
      </w:r>
    </w:p>
    <w:bookmarkEnd w:id="71"/>
    <w:bookmarkStart w:name="z96" w:id="72"/>
    <w:p>
      <w:pPr>
        <w:spacing w:after="0"/>
        <w:ind w:left="0"/>
        <w:jc w:val="both"/>
      </w:pPr>
      <w:r>
        <w:rPr>
          <w:rFonts w:ascii="Times New Roman"/>
          <w:b w:val="false"/>
          <w:i w:val="false"/>
          <w:color w:val="000000"/>
          <w:sz w:val="28"/>
        </w:rPr>
        <w:t>
      Пастбищные угодья Райымбекского района полностью обеспечены водой. Есть также родники, пруды и т. д.</w:t>
      </w:r>
    </w:p>
    <w:bookmarkEnd w:id="72"/>
    <w:bookmarkStart w:name="z97" w:id="73"/>
    <w:p>
      <w:pPr>
        <w:spacing w:after="0"/>
        <w:ind w:left="0"/>
        <w:jc w:val="both"/>
      </w:pPr>
      <w:r>
        <w:rPr>
          <w:rFonts w:ascii="Times New Roman"/>
          <w:b w:val="false"/>
          <w:i w:val="false"/>
          <w:color w:val="000000"/>
          <w:sz w:val="28"/>
        </w:rPr>
        <w:t>
      Создание скотопрогонных путей. Дороги должны иметь необходимую ширину для того, чтобы скот не сдавливался и не загромождался. Ширина дорог 20-25 м на 100 голов крупного рогатого скота, 10-15 м на молодняк до одного года, 15-20 м на стадо лошадей, 30-35 м на стадо овец и коз.</w:t>
      </w:r>
    </w:p>
    <w:bookmarkEnd w:id="73"/>
    <w:bookmarkStart w:name="z98" w:id="74"/>
    <w:p>
      <w:pPr>
        <w:spacing w:after="0"/>
        <w:ind w:left="0"/>
        <w:jc w:val="both"/>
      </w:pPr>
      <w:r>
        <w:rPr>
          <w:rFonts w:ascii="Times New Roman"/>
          <w:b w:val="false"/>
          <w:i w:val="false"/>
          <w:color w:val="000000"/>
          <w:sz w:val="28"/>
        </w:rPr>
        <w:t>
      Скотопрогонные трассы предусматривают предотвращение сбора урожая сельскохозяйственных культур и вырубки естественных трав.</w:t>
      </w:r>
    </w:p>
    <w:bookmarkEnd w:id="74"/>
    <w:bookmarkStart w:name="z99" w:id="75"/>
    <w:p>
      <w:pPr>
        <w:spacing w:after="0"/>
        <w:ind w:left="0"/>
        <w:jc w:val="both"/>
      </w:pPr>
      <w:r>
        <w:rPr>
          <w:rFonts w:ascii="Times New Roman"/>
          <w:b w:val="false"/>
          <w:i w:val="false"/>
          <w:color w:val="000000"/>
          <w:sz w:val="28"/>
        </w:rPr>
        <w:t>
      В пастбищных угодьях перегонные пути должны совмещаться с границами стадных (отаровых) участков, пастбищеоборотов.</w:t>
      </w:r>
    </w:p>
    <w:bookmarkEnd w:id="75"/>
    <w:bookmarkStart w:name="z100" w:id="76"/>
    <w:p>
      <w:pPr>
        <w:spacing w:after="0"/>
        <w:ind w:left="0"/>
        <w:jc w:val="left"/>
      </w:pPr>
      <w:r>
        <w:rPr>
          <w:rFonts w:ascii="Times New Roman"/>
          <w:b/>
          <w:i w:val="false"/>
          <w:color w:val="000000"/>
        </w:rPr>
        <w:t xml:space="preserve"> 7. Размещение скотопрогонных путей</w:t>
      </w:r>
    </w:p>
    <w:bookmarkEnd w:id="76"/>
    <w:bookmarkStart w:name="z101" w:id="77"/>
    <w:p>
      <w:pPr>
        <w:spacing w:after="0"/>
        <w:ind w:left="0"/>
        <w:jc w:val="both"/>
      </w:pPr>
      <w:r>
        <w:rPr>
          <w:rFonts w:ascii="Times New Roman"/>
          <w:b w:val="false"/>
          <w:i w:val="false"/>
          <w:color w:val="000000"/>
          <w:sz w:val="28"/>
        </w:rPr>
        <w:t>
      Для перегона скота в места выпаса скота, водоисточники, лагеря, фермы, из убежища в убежище проектируются скотопрогонные трассы.</w:t>
      </w:r>
    </w:p>
    <w:bookmarkEnd w:id="77"/>
    <w:bookmarkStart w:name="z102" w:id="78"/>
    <w:p>
      <w:pPr>
        <w:spacing w:after="0"/>
        <w:ind w:left="0"/>
        <w:jc w:val="both"/>
      </w:pPr>
      <w:r>
        <w:rPr>
          <w:rFonts w:ascii="Times New Roman"/>
          <w:b w:val="false"/>
          <w:i w:val="false"/>
          <w:color w:val="000000"/>
          <w:sz w:val="28"/>
        </w:rPr>
        <w:t>
      Скотопрогонные трассы размещаются с учетом обслуживания большего количества площадок и создания более удобного и короткого контакта с парковочными местами пастбищ и водопоями для скота. Преобладают скотопрогонные трассы с прямыми линиями, без изгибов и поворотов, с тупыми углами поворотов. Скотопрогонные пути следует располагать по возможности таким образом, чтобы они не пересекали реки, ручьи, канавы, не оборудовали проходы от болот, кромок балок и глубоких оврагов, не пересекали подошвы балок.</w:t>
      </w:r>
    </w:p>
    <w:bookmarkEnd w:id="78"/>
    <w:bookmarkStart w:name="z103" w:id="79"/>
    <w:p>
      <w:pPr>
        <w:spacing w:after="0"/>
        <w:ind w:left="0"/>
        <w:jc w:val="both"/>
      </w:pPr>
      <w:r>
        <w:rPr>
          <w:rFonts w:ascii="Times New Roman"/>
          <w:b w:val="false"/>
          <w:i w:val="false"/>
          <w:color w:val="000000"/>
          <w:sz w:val="28"/>
        </w:rPr>
        <w:t>
      Ширина скотопрогонных путей зависит от вида животных, размера стада и отары, а также от механического состава почвы, толщины травы и уровня эрозионных процессов. Запрещается совмещать скотопрогонные трассы с дорожной сетью, особенно с районными и областными дорогами.</w:t>
      </w:r>
    </w:p>
    <w:bookmarkEnd w:id="79"/>
    <w:bookmarkStart w:name="z104" w:id="80"/>
    <w:p>
      <w:pPr>
        <w:spacing w:after="0"/>
        <w:ind w:left="0"/>
        <w:jc w:val="both"/>
      </w:pPr>
      <w:r>
        <w:rPr>
          <w:rFonts w:ascii="Times New Roman"/>
          <w:b w:val="false"/>
          <w:i w:val="false"/>
          <w:color w:val="000000"/>
          <w:sz w:val="28"/>
        </w:rPr>
        <w:t>
      При необходимости предусматривается прямая прокладка скотопрогонных путей и их траволучевание для топтания. Скотопрогонные пути проектируются на расстоянии не ближе 2-3 км от животноводческих изоляторов, скотомогильников, населенных пунктов, 1,0-1,5 км от проезжей части и 0,5-1,0 км от многолетних насаждений. Из-за интуиции природы животные предпочитают перемещаться на восток в утренние часы, на закат в вечерние часы.</w:t>
      </w:r>
    </w:p>
    <w:bookmarkEnd w:id="80"/>
    <w:bookmarkStart w:name="z105" w:id="81"/>
    <w:p>
      <w:pPr>
        <w:spacing w:after="0"/>
        <w:ind w:left="0"/>
        <w:jc w:val="left"/>
      </w:pPr>
      <w:r>
        <w:rPr>
          <w:rFonts w:ascii="Times New Roman"/>
          <w:b/>
          <w:i w:val="false"/>
          <w:color w:val="000000"/>
        </w:rPr>
        <w:t xml:space="preserve"> 8. Ветеринарные объекты</w:t>
      </w:r>
    </w:p>
    <w:bookmarkEnd w:id="81"/>
    <w:bookmarkStart w:name="z106" w:id="82"/>
    <w:p>
      <w:pPr>
        <w:spacing w:after="0"/>
        <w:ind w:left="0"/>
        <w:jc w:val="both"/>
      </w:pPr>
      <w:r>
        <w:rPr>
          <w:rFonts w:ascii="Times New Roman"/>
          <w:b w:val="false"/>
          <w:i w:val="false"/>
          <w:color w:val="000000"/>
          <w:sz w:val="28"/>
        </w:rPr>
        <w:t>
      Размещение летних лагерей в крупных сельскохозяйственных предприятиях устанавливается при удаленности пастбищных участков от ферм, превышающих допустимые расстояния перегона животных. Таким образом, скот ежедневно не загоняют на ферму, весь пастбищный сезон содержат в летних лагерях. Летний лагерь-это сезонный промышленный центр. Он является местом отдыха животных, их убоя и кормления и проведения других производственных процессов. В лагерях в зависимости от их назначения и видов животных сооружаются навесы, жилые помещения, сооружения для хранения продуктов питания и зерна, искусственного осеменения животных. При выборе места для летнего лагеря: 1) необходимость размещения его в центре зернового массива для того, чтобы выгонка скота на пастбище и перегон, и транспортировка зеленой массы из уборочного оборота при лагере были минимальными; 2) расположение должно быть удобным для организации орошения скота, желательно располагаться вблизи водоема (озера, ручья), но на расстоянии, установленном нормами природы; 3) возвышение площадки для лагеря и глубокое расположение грунтовых вод для строительства производственных кещин, приятное в санитарно-гигиеническом отношении с небольшим уклоном (до 2°) для стока атмосферных вод; 4) Защита лагеря от холодных ветров массивом леса или кустарника, который должен хорошо продуваться для отдыха животных в жару или на ветру; 5) Хорошая транспортная связь лагеря с хозяйственным центром, особенно если в нем содержатся дойные коровы, но</w:t>
      </w:r>
    </w:p>
    <w:bookmarkEnd w:id="82"/>
    <w:bookmarkStart w:name="z107" w:id="83"/>
    <w:p>
      <w:pPr>
        <w:spacing w:after="0"/>
        <w:ind w:left="0"/>
        <w:jc w:val="both"/>
      </w:pPr>
      <w:r>
        <w:rPr>
          <w:rFonts w:ascii="Times New Roman"/>
          <w:b w:val="false"/>
          <w:i w:val="false"/>
          <w:color w:val="000000"/>
          <w:sz w:val="28"/>
        </w:rPr>
        <w:t>
      Данные о ветеринарно-санитарных объектах на территории Райымбекского района представлены в таблице № 9.</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таблица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1856"/>
        <w:gridCol w:w="1022"/>
        <w:gridCol w:w="1415"/>
        <w:gridCol w:w="2197"/>
        <w:gridCol w:w="1416"/>
        <w:gridCol w:w="2198"/>
      </w:tblGrid>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Откормочная площадка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искусственного осеменения</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Захоронения сибирской язвы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с/о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с/о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с/о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с/о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с/о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с/о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с/о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с/о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с/о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батыр с/о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Шәлкөде с/о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09" w:id="84"/>
    <w:p>
      <w:pPr>
        <w:spacing w:after="0"/>
        <w:ind w:left="0"/>
        <w:jc w:val="left"/>
      </w:pPr>
      <w:r>
        <w:rPr>
          <w:rFonts w:ascii="Times New Roman"/>
          <w:b/>
          <w:i w:val="false"/>
          <w:color w:val="000000"/>
        </w:rPr>
        <w:t xml:space="preserve"> 9. Заключение</w:t>
      </w:r>
    </w:p>
    <w:bookmarkEnd w:id="84"/>
    <w:bookmarkStart w:name="z110" w:id="8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РК" О пастбищах " -пастбища, находящиеся в государственной собственности, расположенные в пределах территории сельских населенных пунктов, предоставляются для удовлетворения нужд местного населения по содержанию маточного (дойного) поголовья сельскохозяйственных животных. Выпас других сельскохозяйственных животных на указанных пастбищах допускается только при соблюдении предельно допустимых норм нагрузки на общую площадь пастбищ. Рациональное использование пастбищ способствует получению высокой продуктивности пастбищ, сохранению в течение длительного времени сенокосного состава, обеспечению больших объемов животных пастбищным зерном и получению высоких объемов животноводческой продукции. При такой значимости пастбищного содержания скота на высоком уровне актуален вопрос содержания пастбищ, повышается продуктивность пастбищных угодий при их правильном использовании. Таким образом, при использовании одной перегонной системы возможность содержания скота на одной площадке больше на 20-30%, а при реализации вся система рационального использования пастбищ (текущий уход, введение пастбищеоборота, использование отстойной системы выпаса скота) повышает продуктивность естественных пастбищных угодий в 2-3 раза.</w:t>
      </w:r>
    </w:p>
    <w:bookmarkEnd w:id="85"/>
    <w:bookmarkStart w:name="z111" w:id="86"/>
    <w:p>
      <w:pPr>
        <w:spacing w:after="0"/>
        <w:ind w:left="0"/>
        <w:jc w:val="both"/>
      </w:pPr>
      <w:r>
        <w:rPr>
          <w:rFonts w:ascii="Times New Roman"/>
          <w:b w:val="false"/>
          <w:i w:val="false"/>
          <w:color w:val="000000"/>
          <w:sz w:val="28"/>
        </w:rPr>
        <w:t>
      Пастбище-источник хорошего и дешевого зеленого зерна для животных. Поэтому рациональное их использование является важным для землепользователей</w:t>
      </w:r>
    </w:p>
    <w:bookmarkEnd w:id="86"/>
    <w:bookmarkStart w:name="z112" w:id="87"/>
    <w:p>
      <w:pPr>
        <w:spacing w:after="0"/>
        <w:ind w:left="0"/>
        <w:jc w:val="both"/>
      </w:pPr>
      <w:r>
        <w:rPr>
          <w:rFonts w:ascii="Times New Roman"/>
          <w:b w:val="false"/>
          <w:i w:val="false"/>
          <w:color w:val="000000"/>
          <w:sz w:val="28"/>
        </w:rPr>
        <w:t>
      Для рационального использования площадей зерновых культур необходимо:</w:t>
      </w:r>
    </w:p>
    <w:bookmarkEnd w:id="87"/>
    <w:bookmarkStart w:name="z113" w:id="88"/>
    <w:p>
      <w:pPr>
        <w:spacing w:after="0"/>
        <w:ind w:left="0"/>
        <w:jc w:val="both"/>
      </w:pPr>
      <w:r>
        <w:rPr>
          <w:rFonts w:ascii="Times New Roman"/>
          <w:b w:val="false"/>
          <w:i w:val="false"/>
          <w:color w:val="000000"/>
          <w:sz w:val="28"/>
        </w:rPr>
        <w:t>
      1. Освоение и сохранение пастбищного оборота, прекращение выпаса скота до полного формирования травы на сильно вытаптанных пастбищах.</w:t>
      </w:r>
    </w:p>
    <w:bookmarkEnd w:id="88"/>
    <w:bookmarkStart w:name="z114" w:id="89"/>
    <w:p>
      <w:pPr>
        <w:spacing w:after="0"/>
        <w:ind w:left="0"/>
        <w:jc w:val="both"/>
      </w:pPr>
      <w:r>
        <w:rPr>
          <w:rFonts w:ascii="Times New Roman"/>
          <w:b w:val="false"/>
          <w:i w:val="false"/>
          <w:color w:val="000000"/>
          <w:sz w:val="28"/>
        </w:rPr>
        <w:t>
      2. Не допускается сжигание соломы на пастбищах и полях, так как она наносит вред флоре и фауне.</w:t>
      </w:r>
    </w:p>
    <w:bookmarkEnd w:id="89"/>
    <w:bookmarkStart w:name="z115" w:id="90"/>
    <w:p>
      <w:pPr>
        <w:spacing w:after="0"/>
        <w:ind w:left="0"/>
        <w:jc w:val="both"/>
      </w:pPr>
      <w:r>
        <w:rPr>
          <w:rFonts w:ascii="Times New Roman"/>
          <w:b w:val="false"/>
          <w:i w:val="false"/>
          <w:color w:val="000000"/>
          <w:sz w:val="28"/>
        </w:rPr>
        <w:t>
      3. Не допускается уничтожение деревьев, выполняющих защитную роль от размыва земель.</w:t>
      </w:r>
    </w:p>
    <w:bookmarkEnd w:id="90"/>
    <w:bookmarkStart w:name="z116" w:id="91"/>
    <w:p>
      <w:pPr>
        <w:spacing w:after="0"/>
        <w:ind w:left="0"/>
        <w:jc w:val="both"/>
      </w:pPr>
      <w:r>
        <w:rPr>
          <w:rFonts w:ascii="Times New Roman"/>
          <w:b w:val="false"/>
          <w:i w:val="false"/>
          <w:color w:val="000000"/>
          <w:sz w:val="28"/>
        </w:rPr>
        <w:t>
      4 .Осуществление сенокошения в целях заготовки зерна при продуктивности пастбищ, превышающей потребность пасущихся сельскохозяйственных животных в зерне, при соблюдении предельных норм допустимой нагрузки на общую площадь пастбищ.</w:t>
      </w:r>
    </w:p>
    <w:bookmarkEnd w:id="91"/>
    <w:bookmarkStart w:name="z117" w:id="92"/>
    <w:p>
      <w:pPr>
        <w:spacing w:after="0"/>
        <w:ind w:left="0"/>
        <w:jc w:val="both"/>
      </w:pPr>
      <w:r>
        <w:rPr>
          <w:rFonts w:ascii="Times New Roman"/>
          <w:b w:val="false"/>
          <w:i w:val="false"/>
          <w:color w:val="000000"/>
          <w:sz w:val="28"/>
        </w:rPr>
        <w:t>
      5. Рациональное использование пастбищ по целевому назначению в соответствии с требованием предоставления пастбищ.</w:t>
      </w:r>
    </w:p>
    <w:bookmarkEnd w:id="92"/>
    <w:bookmarkStart w:name="z118" w:id="93"/>
    <w:p>
      <w:pPr>
        <w:spacing w:after="0"/>
        <w:ind w:left="0"/>
        <w:jc w:val="both"/>
      </w:pPr>
      <w:r>
        <w:rPr>
          <w:rFonts w:ascii="Times New Roman"/>
          <w:b w:val="false"/>
          <w:i w:val="false"/>
          <w:color w:val="000000"/>
          <w:sz w:val="28"/>
        </w:rPr>
        <w:t>
      Главой государства одобрен проект закона" О внесении изменений и дополнений в некоторые законодательные акты Республики Казахстан по вопросам регулирования земельных отношений", в котором нормы по обеспечению населения пастбищами предусматриваются с определением их необходимости. Вместе с тем, в связи с тем, что на сегодняшний день большая часть пастбищ вокруг населенных пунктов находится в собственности и землепользовании физических лиц, акимом будет предоставлена возможность их изъятия на государственные нужды путем отнесения пастбищных угодий к нуждам населения. Наряду с усилением ответственности землепользователей законопроект предусматривает усиление государственного контроля за использованием земель, включая пастбища.</w:t>
      </w:r>
    </w:p>
    <w:bookmarkEnd w:id="93"/>
    <w:bookmarkStart w:name="z119" w:id="94"/>
    <w:p>
      <w:pPr>
        <w:spacing w:after="0"/>
        <w:ind w:left="0"/>
        <w:jc w:val="both"/>
      </w:pPr>
      <w:r>
        <w:rPr>
          <w:rFonts w:ascii="Times New Roman"/>
          <w:b w:val="false"/>
          <w:i w:val="false"/>
          <w:color w:val="000000"/>
          <w:sz w:val="28"/>
        </w:rPr>
        <w:t>
      Согласно графику, на территории Райымбекского района наблюдается охват пастбищ.</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2544"/>
        <w:gridCol w:w="2171"/>
        <w:gridCol w:w="2171"/>
        <w:gridCol w:w="2544"/>
        <w:gridCol w:w="2173"/>
      </w:tblGrid>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фактически, га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Пастбище населенных пунктов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скота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с/о</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с/о</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с/о</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с/о</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с/о</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с/о</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64436</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с/о</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с/о</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батыр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с/о</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Шәлкөде с/о</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165154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54135</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232647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35309</w:t>
            </w:r>
          </w:p>
        </w:tc>
      </w:tr>
    </w:tbl>
    <w:bookmarkStart w:name="z121" w:id="95"/>
    <w:p>
      <w:pPr>
        <w:spacing w:after="0"/>
        <w:ind w:left="0"/>
        <w:jc w:val="both"/>
      </w:pPr>
      <w:r>
        <w:rPr>
          <w:rFonts w:ascii="Times New Roman"/>
          <w:b w:val="false"/>
          <w:i w:val="false"/>
          <w:color w:val="000000"/>
          <w:sz w:val="28"/>
        </w:rPr>
        <w:t>
      продолжение таблицы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1682"/>
        <w:gridCol w:w="1682"/>
        <w:gridCol w:w="3720"/>
        <w:gridCol w:w="35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Нагрузка на 1 голову скота</w:t>
            </w:r>
          </w:p>
        </w:tc>
        <w:tc>
          <w:tcPr>
            <w:tcW w:w="3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Нехватка пастбищ, га</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35540,5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19998</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16627,5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+34755</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40205,5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36507,5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22783</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33659,5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20862</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29634</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357588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204115</w:t>
            </w:r>
          </w:p>
        </w:tc>
      </w:tr>
    </w:tbl>
    <w:bookmarkStart w:name="z122" w:id="96"/>
    <w:p>
      <w:pPr>
        <w:spacing w:after="0"/>
        <w:ind w:left="0"/>
        <w:jc w:val="both"/>
      </w:pPr>
      <w:r>
        <w:rPr>
          <w:rFonts w:ascii="Times New Roman"/>
          <w:b w:val="false"/>
          <w:i w:val="false"/>
          <w:color w:val="000000"/>
          <w:sz w:val="28"/>
        </w:rPr>
        <w:t xml:space="preserve">
      Нагрузка на 1 голову скота утверждена приказом министра сельского хозяйства Республики Казахстан от 14 апреля 2015 года </w:t>
      </w:r>
      <w:r>
        <w:rPr>
          <w:rFonts w:ascii="Times New Roman"/>
          <w:b w:val="false"/>
          <w:i w:val="false"/>
          <w:color w:val="000000"/>
          <w:sz w:val="28"/>
        </w:rPr>
        <w:t>№3-3/332</w:t>
      </w:r>
      <w:r>
        <w:rPr>
          <w:rFonts w:ascii="Times New Roman"/>
          <w:b w:val="false"/>
          <w:i w:val="false"/>
          <w:color w:val="000000"/>
          <w:sz w:val="28"/>
        </w:rPr>
        <w:t>. В районе имеется достаточная нагрузка на пастбища. Так как в районном земельном фонде имеется 163 140га благоустроенных земель, а в лесном хозяйстве 91 373 га благоустроенных земель. Всего имеется 254513 га пастбищных угодий.</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