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b6e73" w14:textId="b8b6e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Талгарского района и их использованию на 2021-2022 годы</w:t>
      </w:r>
    </w:p>
    <w:p>
      <w:pPr>
        <w:spacing w:after="0"/>
        <w:ind w:left="0"/>
        <w:jc w:val="both"/>
      </w:pPr>
      <w:r>
        <w:rPr>
          <w:rFonts w:ascii="Times New Roman"/>
          <w:b w:val="false"/>
          <w:i w:val="false"/>
          <w:color w:val="000000"/>
          <w:sz w:val="28"/>
        </w:rPr>
        <w:t>Решение Талгарского районного маслихата Алматинской области от 17 ноября 2021 года № 14-51</w:t>
      </w:r>
    </w:p>
    <w:p>
      <w:pPr>
        <w:spacing w:after="0"/>
        <w:ind w:left="0"/>
        <w:jc w:val="both"/>
      </w:pPr>
      <w:bookmarkStart w:name="z7"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подпунктом 1)</w:t>
      </w:r>
      <w:r>
        <w:rPr>
          <w:rFonts w:ascii="Times New Roman"/>
          <w:b w:val="false"/>
          <w:i w:val="false"/>
          <w:color w:val="000000"/>
          <w:sz w:val="28"/>
        </w:rPr>
        <w:t xml:space="preserve"> статьи 8 Закона Республики Казахстан от 20 февраля 2017 года "О пастбищах", Талгарский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прилагаемый</w:t>
      </w:r>
      <w:r>
        <w:rPr>
          <w:rFonts w:ascii="Times New Roman"/>
          <w:b w:val="false"/>
          <w:i w:val="false"/>
          <w:color w:val="000000"/>
          <w:sz w:val="28"/>
        </w:rPr>
        <w:t xml:space="preserve"> План по управлению пастбищами Талгарского района и их использованию на 2021-2022 годы.</w:t>
      </w:r>
    </w:p>
    <w:bookmarkEnd w:id="1"/>
    <w:bookmarkStart w:name="z9" w:id="2"/>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Талгарского районного маслихата "По развитию сельского хозяйства, экологии, индустрии, и энергетической инфраструктуры".</w:t>
      </w:r>
    </w:p>
    <w:bookmarkEnd w:id="2"/>
    <w:bookmarkStart w:name="z10"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Алибеков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Талгарского районного маслихата от "17" ноября 2021 года №14-51</w:t>
            </w:r>
          </w:p>
        </w:tc>
      </w:tr>
    </w:tbl>
    <w:bookmarkStart w:name="z13" w:id="4"/>
    <w:p>
      <w:pPr>
        <w:spacing w:after="0"/>
        <w:ind w:left="0"/>
        <w:jc w:val="left"/>
      </w:pPr>
      <w:r>
        <w:rPr>
          <w:rFonts w:ascii="Times New Roman"/>
          <w:b/>
          <w:i w:val="false"/>
          <w:color w:val="000000"/>
        </w:rPr>
        <w:t xml:space="preserve"> План по управлению пастбищами Талгарского района и их использованию на 2021-2022 годы</w:t>
      </w:r>
    </w:p>
    <w:bookmarkEnd w:id="4"/>
    <w:bookmarkStart w:name="z14" w:id="5"/>
    <w:p>
      <w:pPr>
        <w:spacing w:after="0"/>
        <w:ind w:left="0"/>
        <w:jc w:val="both"/>
      </w:pPr>
      <w:r>
        <w:rPr>
          <w:rFonts w:ascii="Times New Roman"/>
          <w:b w:val="false"/>
          <w:i w:val="false"/>
          <w:color w:val="000000"/>
          <w:sz w:val="28"/>
        </w:rPr>
        <w:t>
      Настоящий план по управлению пастбищами и их использованию по Талгарскому району на 2021-2022 годы (далее - План) разработан в соответствии с Законами Республики Казахстан "</w:t>
      </w:r>
      <w:r>
        <w:rPr>
          <w:rFonts w:ascii="Times New Roman"/>
          <w:b w:val="false"/>
          <w:i w:val="false"/>
          <w:color w:val="000000"/>
          <w:sz w:val="28"/>
        </w:rPr>
        <w:t>О пастбищах</w:t>
      </w:r>
      <w:r>
        <w:rPr>
          <w:rFonts w:ascii="Times New Roman"/>
          <w:b w:val="false"/>
          <w:i w:val="false"/>
          <w:color w:val="000000"/>
          <w:sz w:val="28"/>
        </w:rPr>
        <w:t>", "</w:t>
      </w:r>
      <w:r>
        <w:rPr>
          <w:rFonts w:ascii="Times New Roman"/>
          <w:b w:val="false"/>
          <w:i w:val="false"/>
          <w:color w:val="000000"/>
          <w:sz w:val="28"/>
        </w:rPr>
        <w:t>Оместном государственном управлении и самоуправлении в Ресублики Казахстан</w:t>
      </w:r>
      <w:r>
        <w:rPr>
          <w:rFonts w:ascii="Times New Roman"/>
          <w:b w:val="false"/>
          <w:i w:val="false"/>
          <w:color w:val="000000"/>
          <w:sz w:val="28"/>
        </w:rPr>
        <w:t xml:space="preserve">", приказом Заместителя Премьер-Министра Республики Казахстан-Министра сельского хозяйства Республики Казахстан </w:t>
      </w:r>
      <w:r>
        <w:rPr>
          <w:rFonts w:ascii="Times New Roman"/>
          <w:b w:val="false"/>
          <w:i w:val="false"/>
          <w:color w:val="000000"/>
          <w:sz w:val="28"/>
        </w:rPr>
        <w:t>№173</w:t>
      </w:r>
      <w:r>
        <w:rPr>
          <w:rFonts w:ascii="Times New Roman"/>
          <w:b w:val="false"/>
          <w:i w:val="false"/>
          <w:color w:val="000000"/>
          <w:sz w:val="28"/>
        </w:rPr>
        <w:t xml:space="preserve"> от 24 апреля 2017 года "Об утверждении Правил рационального использования пастбищ", приказом Министра сельского хозяйства Республики Казахстан </w:t>
      </w:r>
      <w:r>
        <w:rPr>
          <w:rFonts w:ascii="Times New Roman"/>
          <w:b w:val="false"/>
          <w:i w:val="false"/>
          <w:color w:val="000000"/>
          <w:sz w:val="28"/>
        </w:rPr>
        <w:t>№3-3/332</w:t>
      </w:r>
      <w:r>
        <w:rPr>
          <w:rFonts w:ascii="Times New Roman"/>
          <w:b w:val="false"/>
          <w:i w:val="false"/>
          <w:color w:val="000000"/>
          <w:sz w:val="28"/>
        </w:rPr>
        <w:t xml:space="preserve"> от 14 апреля 2015 года "Об утверждении предельно допустимой нормы нагрузки на общую площадь пастбищ"</w:t>
      </w:r>
    </w:p>
    <w:bookmarkEnd w:id="5"/>
    <w:bookmarkStart w:name="z15" w:id="6"/>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w:t>
      </w:r>
    </w:p>
    <w:bookmarkEnd w:id="6"/>
    <w:bookmarkStart w:name="z16" w:id="7"/>
    <w:p>
      <w:pPr>
        <w:spacing w:after="0"/>
        <w:ind w:left="0"/>
        <w:jc w:val="left"/>
      </w:pPr>
      <w:r>
        <w:rPr>
          <w:rFonts w:ascii="Times New Roman"/>
          <w:b/>
          <w:i w:val="false"/>
          <w:color w:val="000000"/>
        </w:rPr>
        <w:t xml:space="preserve"> 1. Общие сведения, характеристика района</w:t>
      </w:r>
    </w:p>
    <w:bookmarkEnd w:id="7"/>
    <w:bookmarkStart w:name="z17" w:id="8"/>
    <w:p>
      <w:pPr>
        <w:spacing w:after="0"/>
        <w:ind w:left="0"/>
        <w:jc w:val="both"/>
      </w:pPr>
      <w:r>
        <w:rPr>
          <w:rFonts w:ascii="Times New Roman"/>
          <w:b w:val="false"/>
          <w:i w:val="false"/>
          <w:color w:val="000000"/>
          <w:sz w:val="28"/>
        </w:rPr>
        <w:t>
      Талгарский район расположен в южной части Алматинской области и граничит на севере с Балхашским районом, на юге с Райымбекским районом и на западе с городом Алматы и Илийским районом, на востоке с Енбекшиказахским районом.</w:t>
      </w:r>
    </w:p>
    <w:bookmarkEnd w:id="8"/>
    <w:bookmarkStart w:name="z18" w:id="9"/>
    <w:p>
      <w:pPr>
        <w:spacing w:after="0"/>
        <w:ind w:left="0"/>
        <w:jc w:val="both"/>
      </w:pPr>
      <w:r>
        <w:rPr>
          <w:rFonts w:ascii="Times New Roman"/>
          <w:b w:val="false"/>
          <w:i w:val="false"/>
          <w:color w:val="000000"/>
          <w:sz w:val="28"/>
        </w:rPr>
        <w:t>
      Территория района по категориям земель представлена следующим образом:</w:t>
      </w:r>
    </w:p>
    <w:bookmarkEnd w:id="9"/>
    <w:bookmarkStart w:name="z19" w:id="10"/>
    <w:p>
      <w:pPr>
        <w:spacing w:after="0"/>
        <w:ind w:left="0"/>
        <w:jc w:val="both"/>
      </w:pPr>
      <w:r>
        <w:rPr>
          <w:rFonts w:ascii="Times New Roman"/>
          <w:b w:val="false"/>
          <w:i w:val="false"/>
          <w:color w:val="000000"/>
          <w:sz w:val="28"/>
        </w:rPr>
        <w:t>
      Общая площадь земель района 365327 гектар, из них пастбищные земли – 127393 гектар.</w:t>
      </w:r>
    </w:p>
    <w:bookmarkEnd w:id="10"/>
    <w:bookmarkStart w:name="z20" w:id="11"/>
    <w:p>
      <w:pPr>
        <w:spacing w:after="0"/>
        <w:ind w:left="0"/>
        <w:jc w:val="both"/>
      </w:pPr>
      <w:r>
        <w:rPr>
          <w:rFonts w:ascii="Times New Roman"/>
          <w:b w:val="false"/>
          <w:i w:val="false"/>
          <w:color w:val="000000"/>
          <w:sz w:val="28"/>
        </w:rPr>
        <w:t>
      По категориям земли подразделяются на:</w:t>
      </w:r>
    </w:p>
    <w:bookmarkEnd w:id="11"/>
    <w:bookmarkStart w:name="z21" w:id="12"/>
    <w:p>
      <w:pPr>
        <w:spacing w:after="0"/>
        <w:ind w:left="0"/>
        <w:jc w:val="both"/>
      </w:pPr>
      <w:r>
        <w:rPr>
          <w:rFonts w:ascii="Times New Roman"/>
          <w:b w:val="false"/>
          <w:i w:val="false"/>
          <w:color w:val="000000"/>
          <w:sz w:val="28"/>
        </w:rPr>
        <w:t>
      - земли сельскохозяйственного назначения – 163267 гектар;</w:t>
      </w:r>
    </w:p>
    <w:bookmarkEnd w:id="12"/>
    <w:bookmarkStart w:name="z22" w:id="13"/>
    <w:p>
      <w:pPr>
        <w:spacing w:after="0"/>
        <w:ind w:left="0"/>
        <w:jc w:val="both"/>
      </w:pPr>
      <w:r>
        <w:rPr>
          <w:rFonts w:ascii="Times New Roman"/>
          <w:b w:val="false"/>
          <w:i w:val="false"/>
          <w:color w:val="000000"/>
          <w:sz w:val="28"/>
        </w:rPr>
        <w:t>
      - земли населенных пунктов – 15888 гектар;</w:t>
      </w:r>
    </w:p>
    <w:bookmarkEnd w:id="13"/>
    <w:bookmarkStart w:name="z23" w:id="14"/>
    <w:p>
      <w:pPr>
        <w:spacing w:after="0"/>
        <w:ind w:left="0"/>
        <w:jc w:val="both"/>
      </w:pPr>
      <w:r>
        <w:rPr>
          <w:rFonts w:ascii="Times New Roman"/>
          <w:b w:val="false"/>
          <w:i w:val="false"/>
          <w:color w:val="000000"/>
          <w:sz w:val="28"/>
        </w:rPr>
        <w:t>
      - земли промышленности, транспорта, связи, для нужд космической деятельности, обороны, национальной безопасности и иного не сельскохозяйственного назначения – 4599 гектар;</w:t>
      </w:r>
    </w:p>
    <w:bookmarkEnd w:id="14"/>
    <w:bookmarkStart w:name="z24" w:id="15"/>
    <w:p>
      <w:pPr>
        <w:spacing w:after="0"/>
        <w:ind w:left="0"/>
        <w:jc w:val="both"/>
      </w:pPr>
      <w:r>
        <w:rPr>
          <w:rFonts w:ascii="Times New Roman"/>
          <w:b w:val="false"/>
          <w:i w:val="false"/>
          <w:color w:val="000000"/>
          <w:sz w:val="28"/>
        </w:rPr>
        <w:t>
      - земли лесного фонда – 17885 гектар,</w:t>
      </w:r>
    </w:p>
    <w:bookmarkEnd w:id="15"/>
    <w:bookmarkStart w:name="z25" w:id="16"/>
    <w:p>
      <w:pPr>
        <w:spacing w:after="0"/>
        <w:ind w:left="0"/>
        <w:jc w:val="both"/>
      </w:pPr>
      <w:r>
        <w:rPr>
          <w:rFonts w:ascii="Times New Roman"/>
          <w:b w:val="false"/>
          <w:i w:val="false"/>
          <w:color w:val="000000"/>
          <w:sz w:val="28"/>
        </w:rPr>
        <w:t>
      - земли водного фонда – 1065 гектар;</w:t>
      </w:r>
    </w:p>
    <w:bookmarkEnd w:id="16"/>
    <w:bookmarkStart w:name="z26" w:id="17"/>
    <w:p>
      <w:pPr>
        <w:spacing w:after="0"/>
        <w:ind w:left="0"/>
        <w:jc w:val="both"/>
      </w:pPr>
      <w:r>
        <w:rPr>
          <w:rFonts w:ascii="Times New Roman"/>
          <w:b w:val="false"/>
          <w:i w:val="false"/>
          <w:color w:val="000000"/>
          <w:sz w:val="28"/>
        </w:rPr>
        <w:t>
      - земли запаса – 42502 гектар.</w:t>
      </w:r>
    </w:p>
    <w:bookmarkEnd w:id="17"/>
    <w:bookmarkStart w:name="z27" w:id="18"/>
    <w:p>
      <w:pPr>
        <w:spacing w:after="0"/>
        <w:ind w:left="0"/>
        <w:jc w:val="both"/>
      </w:pPr>
      <w:r>
        <w:rPr>
          <w:rFonts w:ascii="Times New Roman"/>
          <w:b w:val="false"/>
          <w:i w:val="false"/>
          <w:color w:val="000000"/>
          <w:sz w:val="28"/>
        </w:rPr>
        <w:t>
      Рельеф района представлен в пределах трех основных форм: горного (высокогорного, среднегорного и низкогорного), предгорных равнин, в том числе бугристо-грядовых песков, отрицательных форм рельефа (понижений, долин рек и ручьев). Климат района резко континентальный, зима холодная, лето жаркое. В январе среднегодовая температура воздуха -8 - -12° градусов по Цельсию, в июле +22 - +24° градусов по Цельсию. Среднегодовой размер осадков - 100 - 150 миллиметров. На территории района преобладают темно-каштановая, лугово-каштановая, луговая и болотная почва.</w:t>
      </w:r>
    </w:p>
    <w:bookmarkEnd w:id="18"/>
    <w:bookmarkStart w:name="z28" w:id="19"/>
    <w:p>
      <w:pPr>
        <w:spacing w:after="0"/>
        <w:ind w:left="0"/>
        <w:jc w:val="both"/>
      </w:pPr>
      <w:r>
        <w:rPr>
          <w:rFonts w:ascii="Times New Roman"/>
          <w:b w:val="false"/>
          <w:i w:val="false"/>
          <w:color w:val="000000"/>
          <w:sz w:val="28"/>
        </w:rPr>
        <w:t xml:space="preserve">
      Административно-территориальное деление состоит из 1 города, 46 сельских населенных пунктов, расположенных в 10 сельских округах, согласно </w:t>
      </w:r>
      <w:r>
        <w:rPr>
          <w:rFonts w:ascii="Times New Roman"/>
          <w:b w:val="false"/>
          <w:i w:val="false"/>
          <w:color w:val="000000"/>
          <w:sz w:val="28"/>
        </w:rPr>
        <w:t>Приложения 1</w:t>
      </w:r>
      <w:r>
        <w:rPr>
          <w:rFonts w:ascii="Times New Roman"/>
          <w:b w:val="false"/>
          <w:i w:val="false"/>
          <w:color w:val="000000"/>
          <w:sz w:val="28"/>
        </w:rPr>
        <w:t xml:space="preserve"> к Плану по управлению пастбищами Талгарского района и их использованию на 2021-2022 годы.</w:t>
      </w:r>
    </w:p>
    <w:bookmarkEnd w:id="19"/>
    <w:bookmarkStart w:name="z29" w:id="20"/>
    <w:p>
      <w:pPr>
        <w:spacing w:after="0"/>
        <w:ind w:left="0"/>
        <w:jc w:val="both"/>
      </w:pPr>
      <w:r>
        <w:rPr>
          <w:rFonts w:ascii="Times New Roman"/>
          <w:b w:val="false"/>
          <w:i w:val="false"/>
          <w:color w:val="000000"/>
          <w:sz w:val="28"/>
        </w:rPr>
        <w:t xml:space="preserve">
      Численность населения района составляет 211511 человек, в разрезе сельских округов представлена в </w:t>
      </w:r>
      <w:r>
        <w:rPr>
          <w:rFonts w:ascii="Times New Roman"/>
          <w:b w:val="false"/>
          <w:i w:val="false"/>
          <w:color w:val="000000"/>
          <w:sz w:val="28"/>
        </w:rPr>
        <w:t>Приложении 2</w:t>
      </w:r>
      <w:r>
        <w:rPr>
          <w:rFonts w:ascii="Times New Roman"/>
          <w:b w:val="false"/>
          <w:i w:val="false"/>
          <w:color w:val="000000"/>
          <w:sz w:val="28"/>
        </w:rPr>
        <w:t xml:space="preserve"> к Плану по управлению пастбищами Талгарского района и их использованию на 2021-2022 годы.</w:t>
      </w:r>
    </w:p>
    <w:bookmarkEnd w:id="20"/>
    <w:bookmarkStart w:name="z30" w:id="21"/>
    <w:p>
      <w:pPr>
        <w:spacing w:after="0"/>
        <w:ind w:left="0"/>
        <w:jc w:val="both"/>
      </w:pPr>
      <w:r>
        <w:rPr>
          <w:rFonts w:ascii="Times New Roman"/>
          <w:b w:val="false"/>
          <w:i w:val="false"/>
          <w:color w:val="000000"/>
          <w:sz w:val="28"/>
        </w:rPr>
        <w:t>
      Основное направление деятельности сельхозпредприятий – развитие животноводства и растениеводства, реализация продукции животноводства и растениеводства. В районе зарегистрировано 2797 сельскохозяйственных предприятия, из них производственный кооператив - 33, Акционерное общество -1, из 2630 крестьянских хозяйств 47 хозяйств участвуют в породном преобразовании.</w:t>
      </w:r>
    </w:p>
    <w:bookmarkEnd w:id="21"/>
    <w:bookmarkStart w:name="z31" w:id="22"/>
    <w:p>
      <w:pPr>
        <w:spacing w:after="0"/>
        <w:ind w:left="0"/>
        <w:jc w:val="left"/>
      </w:pPr>
      <w:r>
        <w:rPr>
          <w:rFonts w:ascii="Times New Roman"/>
          <w:b/>
          <w:i w:val="false"/>
          <w:color w:val="000000"/>
        </w:rPr>
        <w:t xml:space="preserve"> 2. Учет поголовья, расчет условных единиц.</w:t>
      </w:r>
    </w:p>
    <w:bookmarkEnd w:id="22"/>
    <w:bookmarkStart w:name="z32" w:id="23"/>
    <w:p>
      <w:pPr>
        <w:spacing w:after="0"/>
        <w:ind w:left="0"/>
        <w:jc w:val="both"/>
      </w:pPr>
      <w:r>
        <w:rPr>
          <w:rFonts w:ascii="Times New Roman"/>
          <w:b w:val="false"/>
          <w:i w:val="false"/>
          <w:color w:val="000000"/>
          <w:sz w:val="28"/>
        </w:rPr>
        <w:t>
      Для удобства проведения подсчетов, касающихся выпаса скота, применяется условная еиница для сравнения или суммирования животных различных видов.</w:t>
      </w:r>
    </w:p>
    <w:bookmarkEnd w:id="23"/>
    <w:bookmarkStart w:name="z33" w:id="24"/>
    <w:p>
      <w:pPr>
        <w:spacing w:after="0"/>
        <w:ind w:left="0"/>
        <w:jc w:val="both"/>
      </w:pPr>
      <w:r>
        <w:rPr>
          <w:rFonts w:ascii="Times New Roman"/>
          <w:b w:val="false"/>
          <w:i w:val="false"/>
          <w:color w:val="000000"/>
          <w:sz w:val="28"/>
        </w:rPr>
        <w:t>
      Условная голова сельскохозяйственных животных – это единица, используемая для сравнения количества различного вида и категорий животных. Эквивалентность определяется на основе потребности животных в кормах.</w:t>
      </w:r>
    </w:p>
    <w:bookmarkEnd w:id="24"/>
    <w:bookmarkStart w:name="z34" w:id="25"/>
    <w:p>
      <w:pPr>
        <w:spacing w:after="0"/>
        <w:ind w:left="0"/>
        <w:jc w:val="both"/>
      </w:pPr>
      <w:r>
        <w:rPr>
          <w:rFonts w:ascii="Times New Roman"/>
          <w:b w:val="false"/>
          <w:i w:val="false"/>
          <w:color w:val="000000"/>
          <w:sz w:val="28"/>
        </w:rPr>
        <w:t xml:space="preserve">
      Коэффициент пересчета в условные головы сельскохозяйственных животных представлен в </w:t>
      </w:r>
      <w:r>
        <w:rPr>
          <w:rFonts w:ascii="Times New Roman"/>
          <w:b w:val="false"/>
          <w:i w:val="false"/>
          <w:color w:val="000000"/>
          <w:sz w:val="28"/>
        </w:rPr>
        <w:t>Приложении 3</w:t>
      </w:r>
      <w:r>
        <w:rPr>
          <w:rFonts w:ascii="Times New Roman"/>
          <w:b w:val="false"/>
          <w:i w:val="false"/>
          <w:color w:val="000000"/>
          <w:sz w:val="28"/>
        </w:rPr>
        <w:t xml:space="preserve"> к Плану по управлению пастбищами Талгарского района и их использованию на 2021-2022 годы</w:t>
      </w:r>
    </w:p>
    <w:bookmarkEnd w:id="25"/>
    <w:bookmarkStart w:name="z35" w:id="26"/>
    <w:p>
      <w:pPr>
        <w:spacing w:after="0"/>
        <w:ind w:left="0"/>
        <w:jc w:val="left"/>
      </w:pPr>
      <w:r>
        <w:rPr>
          <w:rFonts w:ascii="Times New Roman"/>
          <w:b/>
          <w:i w:val="false"/>
          <w:color w:val="000000"/>
        </w:rPr>
        <w:t xml:space="preserve"> 3. Геоботаника</w:t>
      </w:r>
    </w:p>
    <w:bookmarkEnd w:id="26"/>
    <w:bookmarkStart w:name="z36" w:id="27"/>
    <w:p>
      <w:pPr>
        <w:spacing w:after="0"/>
        <w:ind w:left="0"/>
        <w:jc w:val="both"/>
      </w:pPr>
      <w:r>
        <w:rPr>
          <w:rFonts w:ascii="Times New Roman"/>
          <w:b w:val="false"/>
          <w:i w:val="false"/>
          <w:color w:val="000000"/>
          <w:sz w:val="28"/>
        </w:rPr>
        <w:t>
      В Талгарском районе определено более 258 видов растений, которые принадлежат к 49 семействам. Наиболее распространены растения из семейства злаковых, сложноцветных, крестоцветных.</w:t>
      </w:r>
    </w:p>
    <w:bookmarkEnd w:id="27"/>
    <w:bookmarkStart w:name="z37" w:id="28"/>
    <w:p>
      <w:pPr>
        <w:spacing w:after="0"/>
        <w:ind w:left="0"/>
        <w:jc w:val="both"/>
      </w:pPr>
      <w:r>
        <w:rPr>
          <w:rFonts w:ascii="Times New Roman"/>
          <w:b w:val="false"/>
          <w:i w:val="false"/>
          <w:color w:val="000000"/>
          <w:sz w:val="28"/>
        </w:rPr>
        <w:t>
      Геоботаническое состояние пастбищ Талгарского района обусловлено следующим образом: типы кормовых угодий систематизируются в пределах трех основных форм рельефа: горного (высокогорного, среднегорного и низкогорного), предгорных равнин, в том числе бугристо-грядовых песков, отрицательных форм рельефа (понижений, долин рек и ручьев).</w:t>
      </w:r>
    </w:p>
    <w:bookmarkEnd w:id="28"/>
    <w:bookmarkStart w:name="z38" w:id="29"/>
    <w:p>
      <w:pPr>
        <w:spacing w:after="0"/>
        <w:ind w:left="0"/>
        <w:jc w:val="both"/>
      </w:pPr>
      <w:r>
        <w:rPr>
          <w:rFonts w:ascii="Times New Roman"/>
          <w:b w:val="false"/>
          <w:i w:val="false"/>
          <w:color w:val="000000"/>
          <w:sz w:val="28"/>
        </w:rPr>
        <w:t>
      Сельскохозяйственные угодия района, согласно Легенде к карте кормовых угодий расположены на следующих видах почв: высокогорные луговые и лугово-степные на горных луговых, лугово-степных альпийских и субальпийских, средне-горные и низкогорные луговые, степные и пустынно-степные на горных луговых и лугово-степных черноземовидных, черноземных и темно-каштановых, предгорные степные и пустынно-степные на светло-каштановых почвах и на сероземах обыкновенных, равнинные пустынные на сероземах обыкновенных, равнинные пустынные на сероземах светлых, низинные, долинные луговые и галофитно-луговые на лугово-болотных, пойменных луговых, луговых, лугово-светло-каштановых, лугово-темно-каштановых, лугово-сероземных, солонцах и солончаках луговых по долинам горных рек и ручьев, долине реки Или и ее притоков и др.</w:t>
      </w:r>
    </w:p>
    <w:bookmarkEnd w:id="29"/>
    <w:bookmarkStart w:name="z39" w:id="30"/>
    <w:p>
      <w:pPr>
        <w:spacing w:after="0"/>
        <w:ind w:left="0"/>
        <w:jc w:val="both"/>
      </w:pPr>
      <w:r>
        <w:rPr>
          <w:rFonts w:ascii="Times New Roman"/>
          <w:b w:val="false"/>
          <w:i w:val="false"/>
          <w:color w:val="000000"/>
          <w:sz w:val="28"/>
        </w:rPr>
        <w:t>
      Основные типы кормовых угодий (пастбищ) Талгарского района:</w:t>
      </w:r>
    </w:p>
    <w:bookmarkEnd w:id="30"/>
    <w:bookmarkStart w:name="z40" w:id="31"/>
    <w:p>
      <w:pPr>
        <w:spacing w:after="0"/>
        <w:ind w:left="0"/>
        <w:jc w:val="both"/>
      </w:pPr>
      <w:r>
        <w:rPr>
          <w:rFonts w:ascii="Times New Roman"/>
          <w:b w:val="false"/>
          <w:i w:val="false"/>
          <w:color w:val="000000"/>
          <w:sz w:val="28"/>
        </w:rPr>
        <w:t>
      кобрезиевые, осоковые пастбища и сенокосы, разнотравные пастища и сенокосы с преобладанием манжетки сибирской, зопниковые, бузульниковые, овсецовые, кавказкоковыльные, сильнозакустаренные арчой луговые пастбища, сильнозакустаренные, преимущественно шиповником, луговые пастбища, сильнокустарниковые преимущественно шиповником, луговые и лугово-степные,разнотравные пастбища с преобладанием лугового разнотравья, бузильникоые , аяниевые, злаковые и сенокосы, типчаковые, тырсовые и др.</w:t>
      </w:r>
    </w:p>
    <w:bookmarkEnd w:id="31"/>
    <w:bookmarkStart w:name="z41" w:id="32"/>
    <w:p>
      <w:pPr>
        <w:spacing w:after="0"/>
        <w:ind w:left="0"/>
        <w:jc w:val="both"/>
      </w:pPr>
      <w:r>
        <w:rPr>
          <w:rFonts w:ascii="Times New Roman"/>
          <w:b w:val="false"/>
          <w:i w:val="false"/>
          <w:color w:val="000000"/>
          <w:sz w:val="28"/>
        </w:rPr>
        <w:t>
      Злаки и бобовые – это многолетние и однолетние травы, являются основой травостоев природных пастбищ. Наибольшее значение в кормовом значении имеют бобовые- клевер, вика, люцерна, донник. Бобовые отличаются высокой питательностью, тем самым обеспечивают животных высокобелковым кормом и повышают плодородие почв.</w:t>
      </w:r>
    </w:p>
    <w:bookmarkEnd w:id="32"/>
    <w:bookmarkStart w:name="z42" w:id="33"/>
    <w:p>
      <w:pPr>
        <w:spacing w:after="0"/>
        <w:ind w:left="0"/>
        <w:jc w:val="both"/>
      </w:pPr>
      <w:r>
        <w:rPr>
          <w:rFonts w:ascii="Times New Roman"/>
          <w:b w:val="false"/>
          <w:i w:val="false"/>
          <w:color w:val="000000"/>
          <w:sz w:val="28"/>
        </w:rPr>
        <w:t>
      Содержание разнотравья в урожаях сена и пастбищного корма достигает 60-80%. Многие виды растений (злаковые, бобовые) имеют важное кормовое значение.</w:t>
      </w:r>
    </w:p>
    <w:bookmarkEnd w:id="33"/>
    <w:bookmarkStart w:name="z43" w:id="34"/>
    <w:p>
      <w:pPr>
        <w:spacing w:after="0"/>
        <w:ind w:left="0"/>
        <w:jc w:val="both"/>
      </w:pPr>
      <w:r>
        <w:rPr>
          <w:rFonts w:ascii="Times New Roman"/>
          <w:b w:val="false"/>
          <w:i w:val="false"/>
          <w:color w:val="000000"/>
          <w:sz w:val="28"/>
        </w:rPr>
        <w:t xml:space="preserve">
      В результате геоботанического обследования выявлено, что пастбищные угодия района используются рационально, при правильном использовании пастбищных угодий продуктивность скота сильно возрастает. </w:t>
      </w:r>
    </w:p>
    <w:bookmarkEnd w:id="34"/>
    <w:bookmarkStart w:name="z44" w:id="35"/>
    <w:p>
      <w:pPr>
        <w:spacing w:after="0"/>
        <w:ind w:left="0"/>
        <w:jc w:val="both"/>
      </w:pPr>
      <w:r>
        <w:rPr>
          <w:rFonts w:ascii="Times New Roman"/>
          <w:b w:val="false"/>
          <w:i w:val="false"/>
          <w:color w:val="000000"/>
          <w:sz w:val="28"/>
        </w:rPr>
        <w:t>
      Имеющееся выпасное поголовье скота полностью обеспечено пастбищными угодьями.</w:t>
      </w:r>
    </w:p>
    <w:bookmarkEnd w:id="35"/>
    <w:bookmarkStart w:name="z45" w:id="36"/>
    <w:p>
      <w:pPr>
        <w:spacing w:after="0"/>
        <w:ind w:left="0"/>
        <w:jc w:val="left"/>
      </w:pPr>
      <w:r>
        <w:rPr>
          <w:rFonts w:ascii="Times New Roman"/>
          <w:b/>
          <w:i w:val="false"/>
          <w:color w:val="000000"/>
        </w:rPr>
        <w:t xml:space="preserve"> 4. Кормопроизводство</w:t>
      </w:r>
    </w:p>
    <w:bookmarkEnd w:id="36"/>
    <w:bookmarkStart w:name="z46" w:id="37"/>
    <w:p>
      <w:pPr>
        <w:spacing w:after="0"/>
        <w:ind w:left="0"/>
        <w:jc w:val="both"/>
      </w:pPr>
      <w:r>
        <w:rPr>
          <w:rFonts w:ascii="Times New Roman"/>
          <w:b w:val="false"/>
          <w:i w:val="false"/>
          <w:color w:val="000000"/>
          <w:sz w:val="28"/>
        </w:rPr>
        <w:t>
      Кормопроизводство-ведущая многофункциональная и связующая отрасль сельского хозяйства, во многом определяет состояние живоноводства и оказывает существенное влияние на решение ключевых проблем, дальнейшего развития растениеводства, земледелия, рационального природопользования, сохрание ценных сельскохозяйственных угодий и воспроизводства плодородия почв, улучшение экологического состояния района и охраны окружающей среды.</w:t>
      </w:r>
    </w:p>
    <w:bookmarkEnd w:id="37"/>
    <w:bookmarkStart w:name="z47" w:id="38"/>
    <w:p>
      <w:pPr>
        <w:spacing w:after="0"/>
        <w:ind w:left="0"/>
        <w:jc w:val="both"/>
      </w:pPr>
      <w:r>
        <w:rPr>
          <w:rFonts w:ascii="Times New Roman"/>
          <w:b w:val="false"/>
          <w:i w:val="false"/>
          <w:color w:val="000000"/>
          <w:sz w:val="28"/>
        </w:rPr>
        <w:t>
      На территории района основными составляющими рациона животных служат пастбищные корма, сено естественных лугов и сеянных сенокосов. На одну условную голову поголовья скота по району приходится около 13 гектаров пастбищ, что при средней урожаности зеленой массы 5-6 центнеров с гектара, обеспечивают потребность животных в пастбищном корме.</w:t>
      </w:r>
    </w:p>
    <w:bookmarkEnd w:id="38"/>
    <w:bookmarkStart w:name="z48" w:id="39"/>
    <w:p>
      <w:pPr>
        <w:spacing w:after="0"/>
        <w:ind w:left="0"/>
        <w:jc w:val="both"/>
      </w:pPr>
      <w:r>
        <w:rPr>
          <w:rFonts w:ascii="Times New Roman"/>
          <w:b w:val="false"/>
          <w:i w:val="false"/>
          <w:color w:val="000000"/>
          <w:sz w:val="28"/>
        </w:rPr>
        <w:t>
      Основные проблемы отрасли кормопроизводства:</w:t>
      </w:r>
    </w:p>
    <w:bookmarkEnd w:id="39"/>
    <w:bookmarkStart w:name="z49" w:id="40"/>
    <w:p>
      <w:pPr>
        <w:spacing w:after="0"/>
        <w:ind w:left="0"/>
        <w:jc w:val="both"/>
      </w:pPr>
      <w:r>
        <w:rPr>
          <w:rFonts w:ascii="Times New Roman"/>
          <w:b w:val="false"/>
          <w:i w:val="false"/>
          <w:color w:val="000000"/>
          <w:sz w:val="28"/>
        </w:rPr>
        <w:t>
      -недостаточные объемы посевных площадей под кормовыми культурами;</w:t>
      </w:r>
    </w:p>
    <w:bookmarkEnd w:id="40"/>
    <w:bookmarkStart w:name="z50" w:id="41"/>
    <w:p>
      <w:pPr>
        <w:spacing w:after="0"/>
        <w:ind w:left="0"/>
        <w:jc w:val="both"/>
      </w:pPr>
      <w:r>
        <w:rPr>
          <w:rFonts w:ascii="Times New Roman"/>
          <w:b w:val="false"/>
          <w:i w:val="false"/>
          <w:color w:val="000000"/>
          <w:sz w:val="28"/>
        </w:rPr>
        <w:t>
      -низкая урожаность кормовых культур;</w:t>
      </w:r>
    </w:p>
    <w:bookmarkEnd w:id="41"/>
    <w:bookmarkStart w:name="z51" w:id="42"/>
    <w:p>
      <w:pPr>
        <w:spacing w:after="0"/>
        <w:ind w:left="0"/>
        <w:jc w:val="both"/>
      </w:pPr>
      <w:r>
        <w:rPr>
          <w:rFonts w:ascii="Times New Roman"/>
          <w:b w:val="false"/>
          <w:i w:val="false"/>
          <w:color w:val="000000"/>
          <w:sz w:val="28"/>
        </w:rPr>
        <w:t>
      -низкий уровень обеспеченности современной кормоуборочной и кормоприготовительной техникой;</w:t>
      </w:r>
    </w:p>
    <w:bookmarkEnd w:id="42"/>
    <w:bookmarkStart w:name="z52" w:id="43"/>
    <w:p>
      <w:pPr>
        <w:spacing w:after="0"/>
        <w:ind w:left="0"/>
        <w:jc w:val="both"/>
      </w:pPr>
      <w:r>
        <w:rPr>
          <w:rFonts w:ascii="Times New Roman"/>
          <w:b w:val="false"/>
          <w:i w:val="false"/>
          <w:color w:val="000000"/>
          <w:sz w:val="28"/>
        </w:rPr>
        <w:t>
      -отсутствие субсидирования развития кормопроизводства.</w:t>
      </w:r>
    </w:p>
    <w:bookmarkEnd w:id="43"/>
    <w:bookmarkStart w:name="z53" w:id="44"/>
    <w:p>
      <w:pPr>
        <w:spacing w:after="0"/>
        <w:ind w:left="0"/>
        <w:jc w:val="left"/>
      </w:pPr>
      <w:r>
        <w:rPr>
          <w:rFonts w:ascii="Times New Roman"/>
          <w:b/>
          <w:i w:val="false"/>
          <w:color w:val="000000"/>
        </w:rPr>
        <w:t xml:space="preserve"> 5. Пастбищеоборот</w:t>
      </w:r>
    </w:p>
    <w:bookmarkEnd w:id="44"/>
    <w:bookmarkStart w:name="z54" w:id="45"/>
    <w:p>
      <w:pPr>
        <w:spacing w:after="0"/>
        <w:ind w:left="0"/>
        <w:jc w:val="both"/>
      </w:pPr>
      <w:r>
        <w:rPr>
          <w:rFonts w:ascii="Times New Roman"/>
          <w:b w:val="false"/>
          <w:i w:val="false"/>
          <w:color w:val="000000"/>
          <w:sz w:val="28"/>
        </w:rPr>
        <w:t>
      В целях повышения продуктивности пастбищ и улучшения травостоя организуют пастбищеобороты. Пастбищеоборот- это система использования пастбищ и ухода за ними, направленная на увеличение продуктивности пастбищ, путем последовательного чередования выпаса, отдыха и сенокошения по годам на отдельных участках в сочетании с другими мероприятиями по возобновлению и улучшению травостоя.</w:t>
      </w:r>
    </w:p>
    <w:bookmarkEnd w:id="45"/>
    <w:bookmarkStart w:name="z55" w:id="46"/>
    <w:p>
      <w:pPr>
        <w:spacing w:after="0"/>
        <w:ind w:left="0"/>
        <w:jc w:val="both"/>
      </w:pPr>
      <w:r>
        <w:rPr>
          <w:rFonts w:ascii="Times New Roman"/>
          <w:b w:val="false"/>
          <w:i w:val="false"/>
          <w:color w:val="000000"/>
          <w:sz w:val="28"/>
        </w:rPr>
        <w:t>
      В повышении продуктивности пастбищ немаловажное значение имеет правильная организация их территории, состоящая в размещении гуртовых и отарных участков, загонов очередного стравливания, летних лагерей, водных сооружений и скотопрогонов.</w:t>
      </w:r>
    </w:p>
    <w:bookmarkEnd w:id="46"/>
    <w:bookmarkStart w:name="z56" w:id="47"/>
    <w:p>
      <w:pPr>
        <w:spacing w:after="0"/>
        <w:ind w:left="0"/>
        <w:jc w:val="both"/>
      </w:pPr>
      <w:r>
        <w:rPr>
          <w:rFonts w:ascii="Times New Roman"/>
          <w:b w:val="false"/>
          <w:i w:val="false"/>
          <w:color w:val="000000"/>
          <w:sz w:val="28"/>
        </w:rPr>
        <w:t xml:space="preserve">
      На естественных пастбищах предусматривается пастбищеоборот, согласно календарному графику, предоставленному в </w:t>
      </w:r>
      <w:r>
        <w:rPr>
          <w:rFonts w:ascii="Times New Roman"/>
          <w:b w:val="false"/>
          <w:i w:val="false"/>
          <w:color w:val="000000"/>
          <w:sz w:val="28"/>
        </w:rPr>
        <w:t>Приложении 4</w:t>
      </w:r>
      <w:r>
        <w:rPr>
          <w:rFonts w:ascii="Times New Roman"/>
          <w:b w:val="false"/>
          <w:i w:val="false"/>
          <w:color w:val="000000"/>
          <w:sz w:val="28"/>
        </w:rPr>
        <w:t xml:space="preserve"> к Плану по управлению пастбищами Талгарского района и их использованию на 2021-2022 годы</w:t>
      </w:r>
    </w:p>
    <w:bookmarkEnd w:id="47"/>
    <w:bookmarkStart w:name="z57" w:id="48"/>
    <w:p>
      <w:pPr>
        <w:spacing w:after="0"/>
        <w:ind w:left="0"/>
        <w:jc w:val="left"/>
      </w:pPr>
      <w:r>
        <w:rPr>
          <w:rFonts w:ascii="Times New Roman"/>
          <w:b/>
          <w:i w:val="false"/>
          <w:color w:val="000000"/>
        </w:rPr>
        <w:t xml:space="preserve"> 6. График водопоя и размещение скотопрогонов</w:t>
      </w:r>
    </w:p>
    <w:bookmarkEnd w:id="48"/>
    <w:bookmarkStart w:name="z58" w:id="49"/>
    <w:p>
      <w:pPr>
        <w:spacing w:after="0"/>
        <w:ind w:left="0"/>
        <w:jc w:val="both"/>
      </w:pPr>
      <w:r>
        <w:rPr>
          <w:rFonts w:ascii="Times New Roman"/>
          <w:b w:val="false"/>
          <w:i w:val="false"/>
          <w:color w:val="000000"/>
          <w:sz w:val="28"/>
        </w:rPr>
        <w:t>
      Водопойные пункты размещаются с учетом видов и групп выпасного поголовья животных, сезонности их использования, рельефа местности. При размещении водных источников необходимо учитывать удобные подходы к водопою и соблюдать санитарно-профилактические правила. В этих целях нельза допускать размещение водных источников на затапливаемых и загрязненных участках. Лучше всего, если животные имеют свободный доступ к воде. Лучшими источниками пастбищного водоснабжения являются реки, озера и пруды с проточной водой.</w:t>
      </w:r>
    </w:p>
    <w:bookmarkEnd w:id="49"/>
    <w:bookmarkStart w:name="z59" w:id="50"/>
    <w:p>
      <w:pPr>
        <w:spacing w:after="0"/>
        <w:ind w:left="0"/>
        <w:jc w:val="both"/>
      </w:pPr>
      <w:r>
        <w:rPr>
          <w:rFonts w:ascii="Times New Roman"/>
          <w:b w:val="false"/>
          <w:i w:val="false"/>
          <w:color w:val="000000"/>
          <w:sz w:val="28"/>
        </w:rPr>
        <w:t xml:space="preserve">
      Расчет постребности в воде по видам скота и сезонам года производится по нормам водопотребления, установленным для определенной породы животных. Средносуточная норма потребления воды по видам сельскохозяйственных животных, согласно утвержденного Приказом Заместителя Премьер-Министра РК-Министра сельского хозяйства Республики Казахстан от 24 апреля 2017 года </w:t>
      </w:r>
      <w:r>
        <w:rPr>
          <w:rFonts w:ascii="Times New Roman"/>
          <w:b w:val="false"/>
          <w:i w:val="false"/>
          <w:color w:val="000000"/>
          <w:sz w:val="28"/>
        </w:rPr>
        <w:t>№173</w:t>
      </w:r>
      <w:r>
        <w:rPr>
          <w:rFonts w:ascii="Times New Roman"/>
          <w:b w:val="false"/>
          <w:i w:val="false"/>
          <w:color w:val="000000"/>
          <w:sz w:val="28"/>
        </w:rPr>
        <w:t xml:space="preserve"> "Об утверждении Правил рационального использования пастбищ" (зарегистрировано в реестре государственной регистрации нормативных правовых актов № 15090):</w:t>
      </w:r>
    </w:p>
    <w:bookmarkEnd w:id="50"/>
    <w:bookmarkStart w:name="z60" w:id="51"/>
    <w:p>
      <w:pPr>
        <w:spacing w:after="0"/>
        <w:ind w:left="0"/>
        <w:jc w:val="both"/>
      </w:pPr>
      <w:r>
        <w:rPr>
          <w:rFonts w:ascii="Times New Roman"/>
          <w:b w:val="false"/>
          <w:i w:val="false"/>
          <w:color w:val="000000"/>
          <w:sz w:val="28"/>
        </w:rPr>
        <w:t>
      -для КРС и лошадей – 45-60 литров</w:t>
      </w:r>
    </w:p>
    <w:bookmarkEnd w:id="51"/>
    <w:bookmarkStart w:name="z61" w:id="52"/>
    <w:p>
      <w:pPr>
        <w:spacing w:after="0"/>
        <w:ind w:left="0"/>
        <w:jc w:val="both"/>
      </w:pPr>
      <w:r>
        <w:rPr>
          <w:rFonts w:ascii="Times New Roman"/>
          <w:b w:val="false"/>
          <w:i w:val="false"/>
          <w:color w:val="000000"/>
          <w:sz w:val="28"/>
        </w:rPr>
        <w:t>
      -для молодняка в возрасте 1-2 лет – 25-35 литров</w:t>
      </w:r>
    </w:p>
    <w:bookmarkEnd w:id="52"/>
    <w:bookmarkStart w:name="z62" w:id="53"/>
    <w:p>
      <w:pPr>
        <w:spacing w:after="0"/>
        <w:ind w:left="0"/>
        <w:jc w:val="both"/>
      </w:pPr>
      <w:r>
        <w:rPr>
          <w:rFonts w:ascii="Times New Roman"/>
          <w:b w:val="false"/>
          <w:i w:val="false"/>
          <w:color w:val="000000"/>
          <w:sz w:val="28"/>
        </w:rPr>
        <w:t>
      -для молодняка младше 1 года – 10-15 литров</w:t>
      </w:r>
    </w:p>
    <w:bookmarkEnd w:id="53"/>
    <w:bookmarkStart w:name="z63" w:id="54"/>
    <w:p>
      <w:pPr>
        <w:spacing w:after="0"/>
        <w:ind w:left="0"/>
        <w:jc w:val="both"/>
      </w:pPr>
      <w:r>
        <w:rPr>
          <w:rFonts w:ascii="Times New Roman"/>
          <w:b w:val="false"/>
          <w:i w:val="false"/>
          <w:color w:val="000000"/>
          <w:sz w:val="28"/>
        </w:rPr>
        <w:t>
      -для овец и коз -3-5 литров</w:t>
      </w:r>
    </w:p>
    <w:bookmarkEnd w:id="54"/>
    <w:bookmarkStart w:name="z64" w:id="55"/>
    <w:p>
      <w:pPr>
        <w:spacing w:after="0"/>
        <w:ind w:left="0"/>
        <w:jc w:val="both"/>
      </w:pPr>
      <w:r>
        <w:rPr>
          <w:rFonts w:ascii="Times New Roman"/>
          <w:b w:val="false"/>
          <w:i w:val="false"/>
          <w:color w:val="000000"/>
          <w:sz w:val="28"/>
        </w:rPr>
        <w:t>
      -для ягнят – 1-2 литра.</w:t>
      </w:r>
    </w:p>
    <w:bookmarkEnd w:id="55"/>
    <w:bookmarkStart w:name="z65" w:id="56"/>
    <w:p>
      <w:pPr>
        <w:spacing w:after="0"/>
        <w:ind w:left="0"/>
        <w:jc w:val="both"/>
      </w:pPr>
      <w:r>
        <w:rPr>
          <w:rFonts w:ascii="Times New Roman"/>
          <w:b w:val="false"/>
          <w:i w:val="false"/>
          <w:color w:val="000000"/>
          <w:sz w:val="28"/>
        </w:rPr>
        <w:t>
      Допустимое расстояние от пастбища до водопоя для коров – 1,5 км, для телят 1 км, для молодняка крупно рогатого скота -2,5 км, для овец и коз – 3 км, для лошадей и верблюдов до 4,6 км.</w:t>
      </w:r>
    </w:p>
    <w:bookmarkEnd w:id="56"/>
    <w:bookmarkStart w:name="z66" w:id="57"/>
    <w:p>
      <w:pPr>
        <w:spacing w:after="0"/>
        <w:ind w:left="0"/>
        <w:jc w:val="both"/>
      </w:pPr>
      <w:r>
        <w:rPr>
          <w:rFonts w:ascii="Times New Roman"/>
          <w:b w:val="false"/>
          <w:i w:val="false"/>
          <w:color w:val="000000"/>
          <w:sz w:val="28"/>
        </w:rPr>
        <w:t>
      Пастбищные земли Талгарского района полностью обеспечены водой. Имеются родники, реки, пруды и др.</w:t>
      </w:r>
    </w:p>
    <w:bookmarkEnd w:id="57"/>
    <w:bookmarkStart w:name="z67" w:id="58"/>
    <w:p>
      <w:pPr>
        <w:spacing w:after="0"/>
        <w:ind w:left="0"/>
        <w:jc w:val="both"/>
      </w:pPr>
      <w:r>
        <w:rPr>
          <w:rFonts w:ascii="Times New Roman"/>
          <w:b w:val="false"/>
          <w:i w:val="false"/>
          <w:color w:val="000000"/>
          <w:sz w:val="28"/>
        </w:rPr>
        <w:t>
      Для перегона скота к местам выпаса, источникам водопоя, фермам, из загона в загон проектируют скотопрогоны. Скотопрогоны предусматриваются для предупреждения вытаптывания травостоя естественных трав и посевов сельскохозяйственных культур. На пастбищных угодьях скотопрогоны, как правило, должны совмещаться с границами гуртовых (отарных) участков, полями пастибщеоборотов. Скотопрогоны размещают с расчетом обслуживания ими наибольшей площади и создания удобной стоянки и водопоя скота.</w:t>
      </w:r>
    </w:p>
    <w:bookmarkEnd w:id="58"/>
    <w:bookmarkStart w:name="z68" w:id="59"/>
    <w:p>
      <w:pPr>
        <w:spacing w:after="0"/>
        <w:ind w:left="0"/>
        <w:jc w:val="both"/>
      </w:pPr>
      <w:r>
        <w:rPr>
          <w:rFonts w:ascii="Times New Roman"/>
          <w:b w:val="false"/>
          <w:i w:val="false"/>
          <w:color w:val="000000"/>
          <w:sz w:val="28"/>
        </w:rPr>
        <w:t>
      Ширина скотопрогонов зависит от вида животных, размера гуртов и отар, а также механического состава почв. Не следует совмещать скотопрогоны с дорожной сетью, а особенно с районными и областными дорогами.</w:t>
      </w:r>
    </w:p>
    <w:bookmarkEnd w:id="59"/>
    <w:bookmarkStart w:name="z69" w:id="60"/>
    <w:p>
      <w:pPr>
        <w:spacing w:after="0"/>
        <w:ind w:left="0"/>
        <w:jc w:val="left"/>
      </w:pPr>
      <w:r>
        <w:rPr>
          <w:rFonts w:ascii="Times New Roman"/>
          <w:b/>
          <w:i w:val="false"/>
          <w:color w:val="000000"/>
        </w:rPr>
        <w:t xml:space="preserve"> 7. Ветеринарно-санитарные объекты</w:t>
      </w:r>
    </w:p>
    <w:bookmarkEnd w:id="60"/>
    <w:bookmarkStart w:name="z70" w:id="61"/>
    <w:p>
      <w:pPr>
        <w:spacing w:after="0"/>
        <w:ind w:left="0"/>
        <w:jc w:val="both"/>
      </w:pPr>
      <w:r>
        <w:rPr>
          <w:rFonts w:ascii="Times New Roman"/>
          <w:b w:val="false"/>
          <w:i w:val="false"/>
          <w:color w:val="000000"/>
          <w:sz w:val="28"/>
        </w:rPr>
        <w:t>
      В районе действуют 34 ветеринарно-санитарных объектов, из них 3 скотомогильников, 5 места обработки скота, 11 ветеринарных пунктов, 14 мест для забоя скота, 1 мясоперерабатывающий комбинат.</w:t>
      </w:r>
    </w:p>
    <w:bookmarkEnd w:id="61"/>
    <w:bookmarkStart w:name="z71" w:id="62"/>
    <w:p>
      <w:pPr>
        <w:spacing w:after="0"/>
        <w:ind w:left="0"/>
        <w:jc w:val="both"/>
      </w:pPr>
      <w:r>
        <w:rPr>
          <w:rFonts w:ascii="Times New Roman"/>
          <w:b w:val="false"/>
          <w:i w:val="false"/>
          <w:color w:val="000000"/>
          <w:sz w:val="28"/>
        </w:rPr>
        <w:t>
      Ветеринарные пункты в районе полностью укомплектованы специалистами ветеринарами, полностью оборудованы (компьютеры, холодильники, необходимые инструменты). Перед выгонам на выпас скота сельских округов полностью выполняется запланированные ежегодные противо эпизоотические мероприятия, работы по ветеринарной профилактической прививке, аллергические и серологические проверочные работы.</w:t>
      </w:r>
    </w:p>
    <w:bookmarkEnd w:id="62"/>
    <w:bookmarkStart w:name="z72" w:id="63"/>
    <w:p>
      <w:pPr>
        <w:spacing w:after="0"/>
        <w:ind w:left="0"/>
        <w:jc w:val="both"/>
      </w:pPr>
      <w:r>
        <w:rPr>
          <w:rFonts w:ascii="Times New Roman"/>
          <w:b w:val="false"/>
          <w:i w:val="false"/>
          <w:color w:val="000000"/>
          <w:sz w:val="28"/>
        </w:rPr>
        <w:t xml:space="preserve">
      При использовании пастбищ и содержании скота необходимо строго соблюдать ветеринарно-санитарные и зоогигиенические правила. В местах возникновения заболевания должны быть проведены работы по вакцинации животных, дезинфекции, дератизации. </w:t>
      </w:r>
    </w:p>
    <w:bookmarkEnd w:id="63"/>
    <w:bookmarkStart w:name="z73" w:id="64"/>
    <w:p>
      <w:pPr>
        <w:spacing w:after="0"/>
        <w:ind w:left="0"/>
        <w:jc w:val="left"/>
      </w:pPr>
      <w:r>
        <w:rPr>
          <w:rFonts w:ascii="Times New Roman"/>
          <w:b/>
          <w:i w:val="false"/>
          <w:color w:val="000000"/>
        </w:rPr>
        <w:t xml:space="preserve"> 8. Выводы</w:t>
      </w:r>
    </w:p>
    <w:bookmarkEnd w:id="64"/>
    <w:bookmarkStart w:name="z74" w:id="65"/>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статьи 15</w:t>
      </w:r>
      <w:r>
        <w:rPr>
          <w:rFonts w:ascii="Times New Roman"/>
          <w:b w:val="false"/>
          <w:i w:val="false"/>
          <w:color w:val="000000"/>
          <w:sz w:val="28"/>
        </w:rPr>
        <w:t xml:space="preserve"> Закона РК "О пастбищах" - пастбища, расположенные в пределах территории поселков и сельских населенных пунктов, находящиеся в государственной собственности, предоставляются для удовлетворения нужд местного населения по содержанию маточного (дойного) поголовья сельскохозяйственных животных. Выпас на этих пастбищах других сельскохозяйственных животных допускается только при соблюдении предельно допустимых норм нагрузки на общую площадь пастбищ. Рациональное использование пастбищ сводится к тому, чтобы создать условия для получения высокой продуктивности пастбищ, сохранить ценный состав травостоя в течение длительного времени, обеспечить пастбищными кормами наибольшее количество животных и получить высокий выход животноводческой продукции. При таком важном значении пастбищного содержания скота вопросы рационального содержания пастбищ в высшей степени актуальны, тем более что продуктивность пастбищных угодий при правильном использовании их сильно возрастает. Так применение одной только загонной системы пастьбы дает возможность содержать скот на одной и той же площади на 20-30% больше, а при проведении всей системы рационального использования пастбищ (правильного стравливания травостоя, текущего ухода, введения пастбище оборота, применение загонной системы пастьбы) продуктивность естественных пастбищных угодий увеличивается в 2-3 раза.</w:t>
      </w:r>
    </w:p>
    <w:bookmarkEnd w:id="65"/>
    <w:bookmarkStart w:name="z75" w:id="66"/>
    <w:p>
      <w:pPr>
        <w:spacing w:after="0"/>
        <w:ind w:left="0"/>
        <w:jc w:val="both"/>
      </w:pPr>
      <w:r>
        <w:rPr>
          <w:rFonts w:ascii="Times New Roman"/>
          <w:b w:val="false"/>
          <w:i w:val="false"/>
          <w:color w:val="000000"/>
          <w:sz w:val="28"/>
        </w:rPr>
        <w:t>
      Пастбища-это земельные участки в составе земель сельскохозяйственного назначения, а также земельные участки в составе других категорий земель, предоставляемые и используемые для круглогодичноо или сезонного выпаса сельскохозяйственных животных.</w:t>
      </w:r>
    </w:p>
    <w:bookmarkEnd w:id="66"/>
    <w:bookmarkStart w:name="z76" w:id="67"/>
    <w:p>
      <w:pPr>
        <w:spacing w:after="0"/>
        <w:ind w:left="0"/>
        <w:jc w:val="both"/>
      </w:pPr>
      <w:r>
        <w:rPr>
          <w:rFonts w:ascii="Times New Roman"/>
          <w:b w:val="false"/>
          <w:i w:val="false"/>
          <w:color w:val="000000"/>
          <w:sz w:val="28"/>
        </w:rPr>
        <w:t>
      Для рационального использования кормовых угодий необходимо:</w:t>
      </w:r>
    </w:p>
    <w:bookmarkEnd w:id="67"/>
    <w:bookmarkStart w:name="z77" w:id="68"/>
    <w:p>
      <w:pPr>
        <w:spacing w:after="0"/>
        <w:ind w:left="0"/>
        <w:jc w:val="both"/>
      </w:pPr>
      <w:r>
        <w:rPr>
          <w:rFonts w:ascii="Times New Roman"/>
          <w:b w:val="false"/>
          <w:i w:val="false"/>
          <w:color w:val="000000"/>
          <w:sz w:val="28"/>
        </w:rPr>
        <w:t>
      -освоение и соблюдение пастибщеоборотота;</w:t>
      </w:r>
    </w:p>
    <w:bookmarkEnd w:id="68"/>
    <w:bookmarkStart w:name="z78" w:id="69"/>
    <w:p>
      <w:pPr>
        <w:spacing w:after="0"/>
        <w:ind w:left="0"/>
        <w:jc w:val="both"/>
      </w:pPr>
      <w:r>
        <w:rPr>
          <w:rFonts w:ascii="Times New Roman"/>
          <w:b w:val="false"/>
          <w:i w:val="false"/>
          <w:color w:val="000000"/>
          <w:sz w:val="28"/>
        </w:rPr>
        <w:t>
      -запрещается уничтожение кустарников, выполняющих охранную роль, сохраниющих земли от размыва;</w:t>
      </w:r>
    </w:p>
    <w:bookmarkEnd w:id="69"/>
    <w:bookmarkStart w:name="z79" w:id="70"/>
    <w:p>
      <w:pPr>
        <w:spacing w:after="0"/>
        <w:ind w:left="0"/>
        <w:jc w:val="both"/>
      </w:pPr>
      <w:r>
        <w:rPr>
          <w:rFonts w:ascii="Times New Roman"/>
          <w:b w:val="false"/>
          <w:i w:val="false"/>
          <w:color w:val="000000"/>
          <w:sz w:val="28"/>
        </w:rPr>
        <w:t>
      -рационально использовать пастбищ по их целевому назначению в соответствии с условиями прдеоставления пастбищ.</w:t>
      </w:r>
    </w:p>
    <w:bookmarkEnd w:id="70"/>
    <w:bookmarkStart w:name="z80" w:id="71"/>
    <w:p>
      <w:pPr>
        <w:spacing w:after="0"/>
        <w:ind w:left="0"/>
        <w:jc w:val="both"/>
      </w:pPr>
      <w:r>
        <w:rPr>
          <w:rFonts w:ascii="Times New Roman"/>
          <w:b w:val="false"/>
          <w:i w:val="false"/>
          <w:color w:val="000000"/>
          <w:sz w:val="28"/>
        </w:rPr>
        <w:t>
      План по управлению пастбищами и их использованию принимается в целях рационального использования пастбищных угодий, устойчивого обеспечения потребности в кормах и предотвращения процессов деградации пастбищ.</w:t>
      </w:r>
    </w:p>
    <w:bookmarkEnd w:id="71"/>
    <w:bookmarkStart w:name="z81" w:id="72"/>
    <w:p>
      <w:pPr>
        <w:spacing w:after="0"/>
        <w:ind w:left="0"/>
        <w:jc w:val="both"/>
      </w:pPr>
      <w:r>
        <w:rPr>
          <w:rFonts w:ascii="Times New Roman"/>
          <w:b w:val="false"/>
          <w:i w:val="false"/>
          <w:color w:val="000000"/>
          <w:sz w:val="28"/>
        </w:rPr>
        <w:t>
       План по управлению пастбищами и их использованию содержит:</w:t>
      </w:r>
    </w:p>
    <w:bookmarkEnd w:id="72"/>
    <w:bookmarkStart w:name="z82" w:id="73"/>
    <w:p>
      <w:pPr>
        <w:spacing w:after="0"/>
        <w:ind w:left="0"/>
        <w:jc w:val="both"/>
      </w:pPr>
      <w:r>
        <w:rPr>
          <w:rFonts w:ascii="Times New Roman"/>
          <w:b w:val="false"/>
          <w:i w:val="false"/>
          <w:color w:val="000000"/>
          <w:sz w:val="28"/>
        </w:rPr>
        <w:t xml:space="preserve">
       1) схему (карту) расположения пастбищ на территории Талгарского района в разрезе категорий земель, собственников земельных участков и землепользователей на основании правоустанавливающих документов, согласно </w:t>
      </w:r>
      <w:r>
        <w:rPr>
          <w:rFonts w:ascii="Times New Roman"/>
          <w:b w:val="false"/>
          <w:i w:val="false"/>
          <w:color w:val="000000"/>
          <w:sz w:val="28"/>
        </w:rPr>
        <w:t>Приложения 5</w:t>
      </w:r>
      <w:r>
        <w:rPr>
          <w:rFonts w:ascii="Times New Roman"/>
          <w:b w:val="false"/>
          <w:i w:val="false"/>
          <w:color w:val="000000"/>
          <w:sz w:val="28"/>
        </w:rPr>
        <w:t xml:space="preserve"> к Плану по управлению пастбищами Талгарского района и их использованию на 2021-2022 годы;</w:t>
      </w:r>
    </w:p>
    <w:bookmarkEnd w:id="73"/>
    <w:bookmarkStart w:name="z83" w:id="74"/>
    <w:p>
      <w:pPr>
        <w:spacing w:after="0"/>
        <w:ind w:left="0"/>
        <w:jc w:val="both"/>
      </w:pPr>
      <w:r>
        <w:rPr>
          <w:rFonts w:ascii="Times New Roman"/>
          <w:b w:val="false"/>
          <w:i w:val="false"/>
          <w:color w:val="000000"/>
          <w:sz w:val="28"/>
        </w:rPr>
        <w:t xml:space="preserve">
       2) приемлемые схемы пастбищеоборотов на территории Талгарского района, согласно </w:t>
      </w:r>
      <w:r>
        <w:rPr>
          <w:rFonts w:ascii="Times New Roman"/>
          <w:b w:val="false"/>
          <w:i w:val="false"/>
          <w:color w:val="000000"/>
          <w:sz w:val="28"/>
        </w:rPr>
        <w:t>Приложения 6</w:t>
      </w:r>
      <w:r>
        <w:rPr>
          <w:rFonts w:ascii="Times New Roman"/>
          <w:b w:val="false"/>
          <w:i w:val="false"/>
          <w:color w:val="000000"/>
          <w:sz w:val="28"/>
        </w:rPr>
        <w:t xml:space="preserve"> к Плану по управлению пастбищами Талгарского района и их использованию на 2021-2022 годы;</w:t>
      </w:r>
    </w:p>
    <w:bookmarkEnd w:id="74"/>
    <w:bookmarkStart w:name="z84" w:id="75"/>
    <w:p>
      <w:pPr>
        <w:spacing w:after="0"/>
        <w:ind w:left="0"/>
        <w:jc w:val="both"/>
      </w:pPr>
      <w:r>
        <w:rPr>
          <w:rFonts w:ascii="Times New Roman"/>
          <w:b w:val="false"/>
          <w:i w:val="false"/>
          <w:color w:val="000000"/>
          <w:sz w:val="28"/>
        </w:rPr>
        <w:t xml:space="preserve">
       3) карту Талгарского района с обозначением внешних и внутренних границ и площадей пастбищ, в том числе сезонных, объектов пастбищной инфраструктуры, согласно </w:t>
      </w:r>
      <w:r>
        <w:rPr>
          <w:rFonts w:ascii="Times New Roman"/>
          <w:b w:val="false"/>
          <w:i w:val="false"/>
          <w:color w:val="000000"/>
          <w:sz w:val="28"/>
        </w:rPr>
        <w:t>Приложения 7</w:t>
      </w:r>
      <w:r>
        <w:rPr>
          <w:rFonts w:ascii="Times New Roman"/>
          <w:b w:val="false"/>
          <w:i w:val="false"/>
          <w:color w:val="000000"/>
          <w:sz w:val="28"/>
        </w:rPr>
        <w:t xml:space="preserve"> к Плану по управлению пастбищами Талгарского района и их использованию на 2021-2022 годы;</w:t>
      </w:r>
    </w:p>
    <w:bookmarkEnd w:id="75"/>
    <w:bookmarkStart w:name="z85" w:id="76"/>
    <w:p>
      <w:pPr>
        <w:spacing w:after="0"/>
        <w:ind w:left="0"/>
        <w:jc w:val="both"/>
      </w:pPr>
      <w:r>
        <w:rPr>
          <w:rFonts w:ascii="Times New Roman"/>
          <w:b w:val="false"/>
          <w:i w:val="false"/>
          <w:color w:val="000000"/>
          <w:sz w:val="28"/>
        </w:rPr>
        <w:t xml:space="preserve">
       4) схему доступа пастбищепользователей к водоисточникам (озерам, рекам, прудам, копаням, оросительным или обводнительным каналам, трубчатым или шахтным колодцам) на территории Талгарского района, составленную согласно норме потребления воды, согласно </w:t>
      </w:r>
      <w:r>
        <w:rPr>
          <w:rFonts w:ascii="Times New Roman"/>
          <w:b w:val="false"/>
          <w:i w:val="false"/>
          <w:color w:val="000000"/>
          <w:sz w:val="28"/>
        </w:rPr>
        <w:t>Приложения 8</w:t>
      </w:r>
      <w:r>
        <w:rPr>
          <w:rFonts w:ascii="Times New Roman"/>
          <w:b w:val="false"/>
          <w:i w:val="false"/>
          <w:color w:val="000000"/>
          <w:sz w:val="28"/>
        </w:rPr>
        <w:t xml:space="preserve"> к Плану по управлению пастбищами Талгарского района и их использованию на 2021-2022 годы;</w:t>
      </w:r>
    </w:p>
    <w:bookmarkEnd w:id="76"/>
    <w:bookmarkStart w:name="z86" w:id="77"/>
    <w:p>
      <w:pPr>
        <w:spacing w:after="0"/>
        <w:ind w:left="0"/>
        <w:jc w:val="both"/>
      </w:pPr>
      <w:r>
        <w:rPr>
          <w:rFonts w:ascii="Times New Roman"/>
          <w:b w:val="false"/>
          <w:i w:val="false"/>
          <w:color w:val="000000"/>
          <w:sz w:val="28"/>
        </w:rPr>
        <w:t xml:space="preserve">
       5) схему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на территории Талгарского района, согласно </w:t>
      </w:r>
      <w:r>
        <w:rPr>
          <w:rFonts w:ascii="Times New Roman"/>
          <w:b w:val="false"/>
          <w:i w:val="false"/>
          <w:color w:val="000000"/>
          <w:sz w:val="28"/>
        </w:rPr>
        <w:t>Приложения 9</w:t>
      </w:r>
      <w:r>
        <w:rPr>
          <w:rFonts w:ascii="Times New Roman"/>
          <w:b w:val="false"/>
          <w:i w:val="false"/>
          <w:color w:val="000000"/>
          <w:sz w:val="28"/>
        </w:rPr>
        <w:t xml:space="preserve"> к Плану по управлению пастбищами Талгарского района и их использованию на 2021-2022 годы;</w:t>
      </w:r>
    </w:p>
    <w:bookmarkEnd w:id="77"/>
    <w:bookmarkStart w:name="z87" w:id="78"/>
    <w:p>
      <w:pPr>
        <w:spacing w:after="0"/>
        <w:ind w:left="0"/>
        <w:jc w:val="both"/>
      </w:pPr>
      <w:r>
        <w:rPr>
          <w:rFonts w:ascii="Times New Roman"/>
          <w:b w:val="false"/>
          <w:i w:val="false"/>
          <w:color w:val="000000"/>
          <w:sz w:val="28"/>
        </w:rPr>
        <w:t xml:space="preserve">
       6) схему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при сельском округе на территории Талгарского района, согласно </w:t>
      </w:r>
      <w:r>
        <w:rPr>
          <w:rFonts w:ascii="Times New Roman"/>
          <w:b w:val="false"/>
          <w:i w:val="false"/>
          <w:color w:val="000000"/>
          <w:sz w:val="28"/>
        </w:rPr>
        <w:t>Приложения 10</w:t>
      </w:r>
      <w:r>
        <w:rPr>
          <w:rFonts w:ascii="Times New Roman"/>
          <w:b w:val="false"/>
          <w:i w:val="false"/>
          <w:color w:val="000000"/>
          <w:sz w:val="28"/>
        </w:rPr>
        <w:t xml:space="preserve"> к Плану по управлению пастбищами Талгарского района и их использованию на 2021-2022 годы.</w:t>
      </w:r>
    </w:p>
    <w:bookmarkEnd w:id="78"/>
    <w:bookmarkStart w:name="z88" w:id="79"/>
    <w:p>
      <w:pPr>
        <w:spacing w:after="0"/>
        <w:ind w:left="0"/>
        <w:jc w:val="both"/>
      </w:pPr>
      <w:r>
        <w:rPr>
          <w:rFonts w:ascii="Times New Roman"/>
          <w:b w:val="false"/>
          <w:i w:val="false"/>
          <w:color w:val="000000"/>
          <w:sz w:val="28"/>
        </w:rPr>
        <w:t>
       План по управлению пастбищами и их использованию разработан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Плану по управлению пастбищами Талгарского района и их использованию на 2021-2022 годы</w:t>
            </w:r>
          </w:p>
        </w:tc>
      </w:tr>
    </w:tbl>
    <w:bookmarkStart w:name="z90" w:id="80"/>
    <w:p>
      <w:pPr>
        <w:spacing w:after="0"/>
        <w:ind w:left="0"/>
        <w:jc w:val="left"/>
      </w:pPr>
      <w:r>
        <w:rPr>
          <w:rFonts w:ascii="Times New Roman"/>
          <w:b/>
          <w:i w:val="false"/>
          <w:color w:val="000000"/>
        </w:rPr>
        <w:t xml:space="preserve"> Наименование сельских округов и населенных пунктов</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2"/>
        <w:gridCol w:w="1225"/>
        <w:gridCol w:w="9173"/>
      </w:tblGrid>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кол-во населенных пунктов</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Алатауский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 Кайрат, Амангельды, Алмалык, Байлубак, Чимбулак, Алдын Дан, Рыскулово, Береке, Орман - 9</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Белбулакский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Бельбулак, Талдыбулак, Бирлик - 3</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Бесагашский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Бесагаш, Акбулак-2</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Бескайнарский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Бескайнар, Котырбулак-2</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Гулдалинский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Гульдала,Киши Байсерке, Жана Куат-3</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Кендалинский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Кендала, Актас, Енбекши, Акдала-4</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Кайнарский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Еркин,Жаналык, Жана арна, Даулет, Еламан, Жалгамыс, Терен Кара, Сактан, Кайнар,Достык, Коктал-11</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Нуринский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 Остемир, Туганбай, Кара тоган - 4</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Панфиловский</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Панфилово, Карабулак, Тонкерис, Аркабай, Тузусай, Каменское плато, Кызыл-Ту-7</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Туздыбастауский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Туздыбастау-1</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г.Талгар</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району</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Плану по управлению пастбищами Талгарского района и их использованию на 2021-2022 годы</w:t>
            </w:r>
          </w:p>
        </w:tc>
      </w:tr>
    </w:tbl>
    <w:bookmarkStart w:name="z92" w:id="81"/>
    <w:p>
      <w:pPr>
        <w:spacing w:after="0"/>
        <w:ind w:left="0"/>
        <w:jc w:val="left"/>
      </w:pPr>
      <w:r>
        <w:rPr>
          <w:rFonts w:ascii="Times New Roman"/>
          <w:b/>
          <w:i w:val="false"/>
          <w:color w:val="000000"/>
        </w:rPr>
        <w:t xml:space="preserve"> Численность населения Талгарского района в разрезе сельских округов</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gridCol w:w="1946"/>
        <w:gridCol w:w="7334"/>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человек</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Алатауский</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17786</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Белбулакский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Бесагашский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24924</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Бескайнарский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Гулдалинский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12306</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Кендалинский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10909</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Кайнарский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Нуринский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9666</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Панфиловский</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25660</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Туздыбастауский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19105</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г.Талгар</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49429</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району</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Плану по управлению пастбищами Талгарского района и их использованию на 2021-2022 годы</w:t>
            </w:r>
          </w:p>
        </w:tc>
      </w:tr>
    </w:tbl>
    <w:bookmarkStart w:name="z94" w:id="82"/>
    <w:p>
      <w:pPr>
        <w:spacing w:after="0"/>
        <w:ind w:left="0"/>
        <w:jc w:val="left"/>
      </w:pPr>
      <w:r>
        <w:rPr>
          <w:rFonts w:ascii="Times New Roman"/>
          <w:b/>
          <w:i w:val="false"/>
          <w:color w:val="000000"/>
        </w:rPr>
        <w:t xml:space="preserve"> Коэффициент пересчета в условные головы сельскохозяйственных животных</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1"/>
        <w:gridCol w:w="3211"/>
        <w:gridCol w:w="5878"/>
      </w:tblGrid>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животных</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перевода</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 рогатый скот</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 рогатый скот</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Плану по управлению пастбищами Талгарского района и их использованию на 2021-2022 годы</w:t>
            </w:r>
          </w:p>
        </w:tc>
      </w:tr>
    </w:tbl>
    <w:bookmarkStart w:name="z96" w:id="83"/>
    <w:p>
      <w:pPr>
        <w:spacing w:after="0"/>
        <w:ind w:left="0"/>
        <w:jc w:val="left"/>
      </w:pPr>
      <w:r>
        <w:rPr>
          <w:rFonts w:ascii="Times New Roman"/>
          <w:b/>
          <w:i w:val="false"/>
          <w:color w:val="000000"/>
        </w:rPr>
        <w:t xml:space="preserve"> Календарный график по использованию пастбищ, устанавливающий сезонные маршруты выпаса и передвижения сельскохозяйственных животных Талгарского района</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0"/>
        <w:gridCol w:w="2171"/>
        <w:gridCol w:w="3379"/>
        <w:gridCol w:w="3380"/>
      </w:tblGrid>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отгона животных на пастбища</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отгона животных с пастбищ</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Алатауский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мая</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Белбулакский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мая</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Бесагашский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мая</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Бескайнарский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мая</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Гулдалинский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мая</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Кендалинский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мая</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Кайнарский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мая</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Нуринский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мая</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Панфиловский</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мая</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Туздыбастауский сельский округ</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мая</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Плану по управлению пастбищами Талгарского района и их использованию на 2021-2022 годы</w:t>
            </w:r>
          </w:p>
        </w:tc>
      </w:tr>
    </w:tbl>
    <w:bookmarkStart w:name="z98" w:id="84"/>
    <w:p>
      <w:pPr>
        <w:spacing w:after="0"/>
        <w:ind w:left="0"/>
        <w:jc w:val="left"/>
      </w:pPr>
      <w:r>
        <w:rPr>
          <w:rFonts w:ascii="Times New Roman"/>
          <w:b/>
          <w:i w:val="false"/>
          <w:color w:val="000000"/>
        </w:rPr>
        <w:t xml:space="preserve"> Схема (карта) расположения пастбищ на территории Талгарского района в разрезе категорий земель, собственников земельных участков и землепользователей на основании правоустанавливающих документов</w:t>
      </w:r>
    </w:p>
    <w:bookmarkEnd w:id="84"/>
    <w:bookmarkStart w:name="z99"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Плану по управлению пастбищами Талгарского района и их использованию на 2021-2022 годы</w:t>
            </w:r>
          </w:p>
        </w:tc>
      </w:tr>
    </w:tbl>
    <w:bookmarkStart w:name="z101" w:id="86"/>
    <w:p>
      <w:pPr>
        <w:spacing w:after="0"/>
        <w:ind w:left="0"/>
        <w:jc w:val="left"/>
      </w:pPr>
      <w:r>
        <w:rPr>
          <w:rFonts w:ascii="Times New Roman"/>
          <w:b/>
          <w:i w:val="false"/>
          <w:color w:val="000000"/>
        </w:rPr>
        <w:t xml:space="preserve"> Приемлемые схемы пастбищеоборотов Талгарского района</w:t>
      </w:r>
    </w:p>
    <w:bookmarkEnd w:id="86"/>
    <w:bookmarkStart w:name="z102"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Плану по управлению пастбищами Талгарского района и их использованию на 2021-2022 годы</w:t>
            </w:r>
          </w:p>
        </w:tc>
      </w:tr>
    </w:tbl>
    <w:bookmarkStart w:name="z104" w:id="88"/>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в том числе сезонных, объектов пастбищной инфраструктуры Талгарского района</w:t>
      </w:r>
    </w:p>
    <w:bookmarkEnd w:id="88"/>
    <w:bookmarkStart w:name="z105"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Плану по управлению пастбищами Талгарского района и их использованию на 2021-2022 годы</w:t>
            </w:r>
          </w:p>
        </w:tc>
      </w:tr>
    </w:tbl>
    <w:bookmarkStart w:name="z107" w:id="90"/>
    <w:p>
      <w:pPr>
        <w:spacing w:after="0"/>
        <w:ind w:left="0"/>
        <w:jc w:val="left"/>
      </w:pPr>
      <w:r>
        <w:rPr>
          <w:rFonts w:ascii="Times New Roman"/>
          <w:b/>
          <w:i w:val="false"/>
          <w:color w:val="000000"/>
        </w:rPr>
        <w:t xml:space="preserve"> Схема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 Талгарского района</w:t>
      </w:r>
    </w:p>
    <w:bookmarkEnd w:id="90"/>
    <w:bookmarkStart w:name="z108"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Плану по управлению пастбищами Талгарского района и их использованию на 2021-2022 годы</w:t>
            </w:r>
          </w:p>
        </w:tc>
      </w:tr>
    </w:tbl>
    <w:bookmarkStart w:name="z110" w:id="92"/>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Талгарского района</w:t>
      </w:r>
    </w:p>
    <w:bookmarkEnd w:id="92"/>
    <w:bookmarkStart w:name="z111"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Плану по управлению пастбищами Талгарского района и их использованию на 2021-2022 годы</w:t>
            </w:r>
          </w:p>
        </w:tc>
      </w:tr>
    </w:tbl>
    <w:bookmarkStart w:name="z113" w:id="94"/>
    <w:p>
      <w:pPr>
        <w:spacing w:after="0"/>
        <w:ind w:left="0"/>
        <w:jc w:val="left"/>
      </w:pPr>
      <w:r>
        <w:rPr>
          <w:rFonts w:ascii="Times New Roman"/>
          <w:b/>
          <w:i w:val="false"/>
          <w:color w:val="000000"/>
        </w:rPr>
        <w:t xml:space="preserve"> Схема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при сельском округе талгарского района</w:t>
      </w:r>
    </w:p>
    <w:bookmarkEnd w:id="94"/>
    <w:bookmarkStart w:name="z114"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