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8970" w14:textId="5ad8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Кегенскому району на 2020-2021 годы</w:t>
      </w:r>
    </w:p>
    <w:p>
      <w:pPr>
        <w:spacing w:after="0"/>
        <w:ind w:left="0"/>
        <w:jc w:val="both"/>
      </w:pPr>
      <w:r>
        <w:rPr>
          <w:rFonts w:ascii="Times New Roman"/>
          <w:b w:val="false"/>
          <w:i w:val="false"/>
          <w:color w:val="000000"/>
          <w:sz w:val="28"/>
        </w:rPr>
        <w:t>Решение Кегенского районного маслихата Алматинской области от 12 августа 2021 года № 11-47</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20 февраля 2017 года "О пастбищах", Кегенский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План по управлению пастбищами и их использованию по Кегенскому району на 2020-2021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Кегенского районного маслихата по рациональному использованию природных ресурсов, промышленности, строительства, транспорта, связи, коммуникаций, энергетики и сельского хозяйства, регулирования земельных отношений, охраны окружающей среды.</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Әлімбай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93"/>
        <w:gridCol w:w="5334"/>
      </w:tblGrid>
      <w:tr>
        <w:trPr>
          <w:trHeight w:val="30" w:hRule="atLeast"/>
        </w:trPr>
        <w:tc>
          <w:tcPr>
            <w:tcW w:w="86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Кегенского районного малихата от "___" ________ 2020 года № _____"Об утверждении Плана по управлению пастбищами и их использованию по Кегенскому району на 2020-2021 годы"</w:t>
            </w:r>
          </w:p>
        </w:tc>
      </w:tr>
    </w:tbl>
    <w:bookmarkStart w:name="z12" w:id="3"/>
    <w:p>
      <w:pPr>
        <w:spacing w:after="0"/>
        <w:ind w:left="0"/>
        <w:jc w:val="left"/>
      </w:pPr>
      <w:r>
        <w:rPr>
          <w:rFonts w:ascii="Times New Roman"/>
          <w:b/>
          <w:i w:val="false"/>
          <w:color w:val="000000"/>
        </w:rPr>
        <w:t xml:space="preserve"> Схема (карта) расположения пастбищ на территории Кегенского района в разрезе категорий земель, собственников земельных участков и землепользователей на основании правоустанавливающих документов</w:t>
      </w:r>
    </w:p>
    <w:bookmarkEnd w:id="3"/>
    <w:bookmarkStart w:name="z13"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93"/>
        <w:gridCol w:w="5334"/>
      </w:tblGrid>
      <w:tr>
        <w:trPr>
          <w:trHeight w:val="30" w:hRule="atLeast"/>
        </w:trPr>
        <w:tc>
          <w:tcPr>
            <w:tcW w:w="86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Кегенского районного малихата от "___" ________ 2020 года № _____"Об утверждении Плана по управлению пастбищами и их использованию по Кегенскому району на 2020-2021 годы"</w:t>
            </w:r>
          </w:p>
        </w:tc>
      </w:tr>
    </w:tbl>
    <w:bookmarkStart w:name="z15" w:id="5"/>
    <w:p>
      <w:pPr>
        <w:spacing w:after="0"/>
        <w:ind w:left="0"/>
        <w:jc w:val="left"/>
      </w:pPr>
      <w:r>
        <w:rPr>
          <w:rFonts w:ascii="Times New Roman"/>
          <w:b/>
          <w:i w:val="false"/>
          <w:color w:val="000000"/>
        </w:rPr>
        <w:t xml:space="preserve"> Приемлемые схемы пастбищеоборотов</w:t>
      </w:r>
    </w:p>
    <w:bookmarkEnd w:id="5"/>
    <w:bookmarkStart w:name="z16"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93"/>
        <w:gridCol w:w="5334"/>
      </w:tblGrid>
      <w:tr>
        <w:trPr>
          <w:trHeight w:val="30" w:hRule="atLeast"/>
        </w:trPr>
        <w:tc>
          <w:tcPr>
            <w:tcW w:w="86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Кегенского районного малихата от "___" ________ 2020 года № _____"Об утверждении Плана по управлению пастбищами и их использованию по Кегенскому району на 2020-2021 годы"</w:t>
            </w:r>
          </w:p>
        </w:tc>
      </w:tr>
    </w:tbl>
    <w:bookmarkStart w:name="z18" w:id="7"/>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7"/>
    <w:bookmarkStart w:name="z19"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93"/>
        <w:gridCol w:w="5334"/>
      </w:tblGrid>
      <w:tr>
        <w:trPr>
          <w:trHeight w:val="30" w:hRule="atLeast"/>
        </w:trPr>
        <w:tc>
          <w:tcPr>
            <w:tcW w:w="86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Кегенского районного малихата от "___" ________ 2020 года № _____"Об утверждении Плана по управлению пастбищами и их использованию по Кегенскому району на 2020-2021 годы"</w:t>
            </w:r>
          </w:p>
        </w:tc>
      </w:tr>
    </w:tbl>
    <w:bookmarkStart w:name="z21" w:id="9"/>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9"/>
    <w:bookmarkStart w:name="z22"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93"/>
        <w:gridCol w:w="5334"/>
      </w:tblGrid>
      <w:tr>
        <w:trPr>
          <w:trHeight w:val="30" w:hRule="atLeast"/>
        </w:trPr>
        <w:tc>
          <w:tcPr>
            <w:tcW w:w="86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 Кегенского районного малихата от "___" ________ 2020 года № _____"Об утверждении Плана по управлению пастбищами и их использованию по Кегенскому району на 2020-2021 годы"</w:t>
            </w:r>
          </w:p>
        </w:tc>
      </w:tr>
    </w:tbl>
    <w:bookmarkStart w:name="z24" w:id="11"/>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11"/>
    <w:bookmarkStart w:name="z25"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93"/>
        <w:gridCol w:w="5334"/>
      </w:tblGrid>
      <w:tr>
        <w:trPr>
          <w:trHeight w:val="30" w:hRule="atLeast"/>
        </w:trPr>
        <w:tc>
          <w:tcPr>
            <w:tcW w:w="86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 Кегенского районного малихата от "___" ________ 2020 года № _____"Об утверждении Плана по управлению пастбищами и их использованию по Кегенскому району на 2020-2021 годы"</w:t>
            </w:r>
          </w:p>
        </w:tc>
      </w:tr>
    </w:tbl>
    <w:bookmarkStart w:name="z27" w:id="13"/>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селе, сельском округе "Об утверждении Плана по управлению</w:t>
      </w:r>
    </w:p>
    <w:bookmarkEnd w:id="13"/>
    <w:bookmarkStart w:name="z28"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71"/>
        <w:gridCol w:w="5409"/>
      </w:tblGrid>
      <w:tr>
        <w:trPr>
          <w:trHeight w:val="30" w:hRule="atLeast"/>
        </w:trPr>
        <w:tc>
          <w:tcPr>
            <w:tcW w:w="86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 Кегенского районного маслихата от "___" _____________2020 года № ______ "Об утверждении Плана по управлению пастбищами и их использованию по Кегенскому району на 2020-2021 годы"</w:t>
            </w:r>
          </w:p>
        </w:tc>
      </w:tr>
    </w:tbl>
    <w:bookmarkStart w:name="z30" w:id="15"/>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0"/>
        <w:gridCol w:w="2312"/>
        <w:gridCol w:w="2312"/>
        <w:gridCol w:w="2313"/>
        <w:gridCol w:w="2313"/>
      </w:tblGrid>
      <w:tr>
        <w:trPr>
          <w:trHeight w:val="30" w:hRule="atLeast"/>
        </w:trPr>
        <w:tc>
          <w:tcPr>
            <w:tcW w:w="3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перегона скота на пастбища и возврата скота из пастбищ</w:t>
            </w:r>
          </w:p>
        </w:tc>
      </w:tr>
      <w:tr>
        <w:trPr>
          <w:trHeight w:val="30"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І-декада марта ІІ-декада мая</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мая ІІ-декада октября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октября ІІІ-декада ноября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ІІІ-декада ноября І-декада марта</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марта ІІ-декада мая</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мая ІІ-декада октября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ІІ-декада октября ІІІ-декада ноября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ІІІ-декада ноября І-декада марта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Утвержден решением Кегенского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 от "___ _________ 2021 года №______</w:t>
            </w:r>
          </w:p>
        </w:tc>
      </w:tr>
    </w:tbl>
    <w:bookmarkStart w:name="z33" w:id="16"/>
    <w:p>
      <w:pPr>
        <w:spacing w:after="0"/>
        <w:ind w:left="0"/>
        <w:jc w:val="both"/>
      </w:pPr>
      <w:r>
        <w:rPr>
          <w:rFonts w:ascii="Times New Roman"/>
          <w:b w:val="false"/>
          <w:i w:val="false"/>
          <w:color w:val="000000"/>
          <w:sz w:val="28"/>
        </w:rPr>
        <w:t>
      УПРАВЛЕНИЕ И ИСПОЛЬЗОВАНИЕ ПАСТБИЩ НА 2021-2022 ГОДЫ ПЛАН ДЛЯ Алматинская область Райымбекский район (Постановление Правительства Республики Казахстан от 2017 года" О пастбищах") Закона от 20 февраля г. №47 2021 год</w:t>
      </w:r>
    </w:p>
    <w:bookmarkEnd w:id="16"/>
    <w:bookmarkStart w:name="z34" w:id="17"/>
    <w:p>
      <w:pPr>
        <w:spacing w:after="0"/>
        <w:ind w:left="0"/>
        <w:jc w:val="left"/>
      </w:pPr>
      <w:r>
        <w:rPr>
          <w:rFonts w:ascii="Times New Roman"/>
          <w:b/>
          <w:i w:val="false"/>
          <w:color w:val="000000"/>
        </w:rPr>
        <w:t xml:space="preserve"> 1. Общие данные, характеристика Кегенского района</w:t>
      </w:r>
    </w:p>
    <w:bookmarkEnd w:id="17"/>
    <w:bookmarkStart w:name="z35" w:id="18"/>
    <w:p>
      <w:pPr>
        <w:spacing w:after="0"/>
        <w:ind w:left="0"/>
        <w:jc w:val="both"/>
      </w:pPr>
      <w:r>
        <w:rPr>
          <w:rFonts w:ascii="Times New Roman"/>
          <w:b w:val="false"/>
          <w:i w:val="false"/>
          <w:color w:val="000000"/>
          <w:sz w:val="28"/>
        </w:rPr>
        <w:t>
      Кегенский район расположен на юго-востоке Алматинской области. Расположен в межгорной долине у подножия Илийского, Кунгейского, Терскейского Алатау. На территории района имеются перевалы Аманжол, Кокжайлау, Саты, Каракия, Кызыл-Тере, Сартасу (перевал Чокан). Ручей, начинающийся с горы, представляет собой реки Каркара, Кеген, Талды, облепиха, Ирсу, Кенсу, средняя Мерке, Шет Мерке (из которых образована река Чарын), Карабулак, Шелек, Кайынды, Жинишке. Озера-Каинды, Каракии, Кольсай. Из полезных ископаемых встречаются свинец, цинк, уголь и строительный камень, песок, глина. Территория Кегенского района по категории земель представлена в таблице №1.</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3000"/>
        <w:gridCol w:w="4124"/>
        <w:gridCol w:w="4124"/>
      </w:tblGrid>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пастбища</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сельскохозяйственного назначения, всего</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262 011</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206 140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населенных пунктов</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37 793</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промышленности, транспорта, связи и другого несельскохозяйственного назначения</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ресурсы</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161 892</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136 500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лесного фонда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87 185</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особо охраняемых природных территорий</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158 658</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51 289</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водных ресурсов</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по району</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710 298</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472 623</w:t>
            </w:r>
          </w:p>
        </w:tc>
      </w:tr>
    </w:tbl>
    <w:bookmarkStart w:name="z37" w:id="19"/>
    <w:p>
      <w:pPr>
        <w:spacing w:after="0"/>
        <w:ind w:left="0"/>
        <w:jc w:val="both"/>
      </w:pPr>
      <w:r>
        <w:rPr>
          <w:rFonts w:ascii="Times New Roman"/>
          <w:b w:val="false"/>
          <w:i w:val="false"/>
          <w:color w:val="000000"/>
          <w:sz w:val="28"/>
        </w:rPr>
        <w:t>
      Климат умеренный, континентальный. Средняя температура января 13,7 градуса, июля 14,8 градуса. Среднегодовое количество осадков 300-400 мм.Район состоит из 12 сельских округов.</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938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 населенного пункта.</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Кегенский сельский округ</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Туменбай, Темирлик</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Булеказский сельский округ</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Болексаз</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Алгабасский сельский округ</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Алгабас, Жинишке, Жанаталап</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Жаланашский сельский округ</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Жаланаш, Жайдакбулак, Тогызбулак</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Жылысайский сельский округ</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 Шыбышы, Мойнак</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 Акай Нусупбеков</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Каркаринский сельский округ</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 Ереуил, Мынжылкы</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Сатинский сельский округ</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Курмети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Тасашинский сельский округ</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Тасаши, Актасты, Сарыколь, Жанатасаши</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Тупиковский сельский округ</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Туюк</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Узунбулакский сельский округ</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Узунбулак, Жалаули, Аксай</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Шыганакский сельский округ</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Шарганак, Каркара, Талды, Кенсу, Кокпияз, Кызылжар</w:t>
            </w:r>
          </w:p>
        </w:tc>
      </w:tr>
    </w:tbl>
    <w:bookmarkStart w:name="z39" w:id="20"/>
    <w:p>
      <w:pPr>
        <w:spacing w:after="0"/>
        <w:ind w:left="0"/>
        <w:jc w:val="both"/>
      </w:pPr>
      <w:r>
        <w:rPr>
          <w:rFonts w:ascii="Times New Roman"/>
          <w:b w:val="false"/>
          <w:i w:val="false"/>
          <w:color w:val="000000"/>
          <w:sz w:val="28"/>
        </w:rPr>
        <w:t>
      Численность населения Кегенского района составляет 32 415 человек, в разрезе сел и сельских округов представлена в таблице № 3.</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2360"/>
        <w:gridCol w:w="6278"/>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чел.</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Кегенский сельский округ</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Булеказский сельский округ</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Алгабасский сельский округ</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Жаланашский сельский округ</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Жылысайский сельский округ</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Каркаринский сельский округ</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Сатинский сельский округ</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Тасашинский сельский округ</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Тупиковский сельский округ</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Узунбулакский сельский округ</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Шыганакский сельский округ</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bl>
    <w:bookmarkStart w:name="z41" w:id="21"/>
    <w:p>
      <w:pPr>
        <w:spacing w:after="0"/>
        <w:ind w:left="0"/>
        <w:jc w:val="both"/>
      </w:pPr>
      <w:r>
        <w:rPr>
          <w:rFonts w:ascii="Times New Roman"/>
          <w:b w:val="false"/>
          <w:i w:val="false"/>
          <w:color w:val="000000"/>
          <w:sz w:val="28"/>
        </w:rPr>
        <w:t>
      Основной вид деятельности сельскохозяйственных предприятий — развитие животноводства и растениеводства и осуществление производства продукции. В районе зарегистрировано 1557 крестьянских хозяйств. Из них 1090 крестьянских хозяйств занимаются животноводством, 467-растениеводством. В селекционном развитии племенного дела принимают участие 187 крестьянских хозяйств.</w:t>
      </w:r>
    </w:p>
    <w:bookmarkEnd w:id="21"/>
    <w:bookmarkStart w:name="z42" w:id="22"/>
    <w:p>
      <w:pPr>
        <w:spacing w:after="0"/>
        <w:ind w:left="0"/>
        <w:jc w:val="left"/>
      </w:pPr>
      <w:r>
        <w:rPr>
          <w:rFonts w:ascii="Times New Roman"/>
          <w:b/>
          <w:i w:val="false"/>
          <w:color w:val="000000"/>
        </w:rPr>
        <w:t xml:space="preserve"> 2. Учет поголовья, условия учет поголовья</w:t>
      </w:r>
    </w:p>
    <w:bookmarkEnd w:id="22"/>
    <w:bookmarkStart w:name="z43" w:id="23"/>
    <w:p>
      <w:pPr>
        <w:spacing w:after="0"/>
        <w:ind w:left="0"/>
        <w:jc w:val="both"/>
      </w:pPr>
      <w:r>
        <w:rPr>
          <w:rFonts w:ascii="Times New Roman"/>
          <w:b w:val="false"/>
          <w:i w:val="false"/>
          <w:color w:val="000000"/>
          <w:sz w:val="28"/>
        </w:rPr>
        <w:t>
      Для удобства проведения различных подсчетов, касающихся выпаса скота, применяется условная единица для сравнения или суммирования животных различных видов скота.</w:t>
      </w:r>
    </w:p>
    <w:bookmarkEnd w:id="23"/>
    <w:bookmarkStart w:name="z44" w:id="24"/>
    <w:p>
      <w:pPr>
        <w:spacing w:after="0"/>
        <w:ind w:left="0"/>
        <w:jc w:val="both"/>
      </w:pPr>
      <w:r>
        <w:rPr>
          <w:rFonts w:ascii="Times New Roman"/>
          <w:b w:val="false"/>
          <w:i w:val="false"/>
          <w:color w:val="000000"/>
          <w:sz w:val="28"/>
        </w:rPr>
        <w:t>
      Условная голова сельскохозяйственных животных – это единица, используемая для сравнения количества различного вида и категорий животных. Эквивалентность определяется на основе потребности животных в кормах.</w:t>
      </w:r>
    </w:p>
    <w:bookmarkEnd w:id="24"/>
    <w:bookmarkStart w:name="z45" w:id="25"/>
    <w:p>
      <w:pPr>
        <w:spacing w:after="0"/>
        <w:ind w:left="0"/>
        <w:jc w:val="both"/>
      </w:pPr>
      <w:r>
        <w:rPr>
          <w:rFonts w:ascii="Times New Roman"/>
          <w:b w:val="false"/>
          <w:i w:val="false"/>
          <w:color w:val="000000"/>
          <w:sz w:val="28"/>
        </w:rPr>
        <w:t>
      Коэффициент пересчета условного поголовья представлен в таблице № 4</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0"/>
        <w:gridCol w:w="8820"/>
      </w:tblGrid>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животных</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замещения</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КРС </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МРС </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7" w:id="26"/>
    <w:p>
      <w:pPr>
        <w:spacing w:after="0"/>
        <w:ind w:left="0"/>
        <w:jc w:val="both"/>
      </w:pPr>
      <w:r>
        <w:rPr>
          <w:rFonts w:ascii="Times New Roman"/>
          <w:b w:val="false"/>
          <w:i w:val="false"/>
          <w:color w:val="000000"/>
          <w:sz w:val="28"/>
        </w:rPr>
        <w:t>
      Данные о численности сельскохозяйственных животных в разрезе сел и сельских округов, владельцев представлены в таблице № 5.</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 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
        <w:gridCol w:w="2287"/>
        <w:gridCol w:w="944"/>
        <w:gridCol w:w="1883"/>
        <w:gridCol w:w="1703"/>
        <w:gridCol w:w="2653"/>
        <w:gridCol w:w="26"/>
        <w:gridCol w:w="228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предприятиях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крестьянских хозяйствах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домашнем хозяйстве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Алгабас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Болексаз</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Жаланаш</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Тасашы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Туюк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Узунбулак</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Шырганак</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28157</w:t>
            </w:r>
          </w:p>
        </w:tc>
      </w:tr>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предприятиях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крестьянских хозяйствах</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домашнем хозяйстве</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126578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предприятиях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крестьянских хозяйствах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домашнем хозяйстве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bl>
    <w:bookmarkStart w:name="z49" w:id="27"/>
    <w:p>
      <w:pPr>
        <w:spacing w:after="0"/>
        <w:ind w:left="0"/>
        <w:jc w:val="left"/>
      </w:pPr>
      <w:r>
        <w:rPr>
          <w:rFonts w:ascii="Times New Roman"/>
          <w:b/>
          <w:i w:val="false"/>
          <w:color w:val="000000"/>
        </w:rPr>
        <w:t xml:space="preserve"> 3. Геоботаника</w:t>
      </w:r>
    </w:p>
    <w:bookmarkEnd w:id="27"/>
    <w:bookmarkStart w:name="z50" w:id="28"/>
    <w:p>
      <w:pPr>
        <w:spacing w:after="0"/>
        <w:ind w:left="0"/>
        <w:jc w:val="both"/>
      </w:pPr>
      <w:r>
        <w:rPr>
          <w:rFonts w:ascii="Times New Roman"/>
          <w:b w:val="false"/>
          <w:i w:val="false"/>
          <w:color w:val="000000"/>
          <w:sz w:val="28"/>
        </w:rPr>
        <w:t>
      Обследование территории Кегенского района в соответствии со схемой" природно-сельскохозяйственное районирование земельного фонда Казахстана " расположено в горной зоне Средней Азии, в Западно-Тянь-Шанском и Северо-Тянь-Шанском округах. Почвенный покров района неоднороден, что обусловлено различием в геоморфологической структуре и высотной поясности гор.</w:t>
      </w:r>
    </w:p>
    <w:bookmarkEnd w:id="28"/>
    <w:bookmarkStart w:name="z51" w:id="29"/>
    <w:p>
      <w:pPr>
        <w:spacing w:after="0"/>
        <w:ind w:left="0"/>
        <w:jc w:val="both"/>
      </w:pPr>
      <w:r>
        <w:rPr>
          <w:rFonts w:ascii="Times New Roman"/>
          <w:b w:val="false"/>
          <w:i w:val="false"/>
          <w:color w:val="000000"/>
          <w:sz w:val="28"/>
        </w:rPr>
        <w:t>
      Связано с понижением температуры почвенно-климатического пояса и увеличением атмосферных осадков, снижением давления, а также повышенной ультрафиолетовой радиацией.</w:t>
      </w:r>
    </w:p>
    <w:bookmarkEnd w:id="29"/>
    <w:bookmarkStart w:name="z52" w:id="30"/>
    <w:p>
      <w:pPr>
        <w:spacing w:after="0"/>
        <w:ind w:left="0"/>
        <w:jc w:val="both"/>
      </w:pPr>
      <w:r>
        <w:rPr>
          <w:rFonts w:ascii="Times New Roman"/>
          <w:b w:val="false"/>
          <w:i w:val="false"/>
          <w:color w:val="000000"/>
          <w:sz w:val="28"/>
        </w:rPr>
        <w:t>
      В соответствии с "системным перечнем и основными диагностическими показателями горных и предгорных регионов Казахстана" на землях Кегенского района выявлены следующие типы почв.</w:t>
      </w:r>
    </w:p>
    <w:bookmarkEnd w:id="30"/>
    <w:bookmarkStart w:name="z53" w:id="31"/>
    <w:p>
      <w:pPr>
        <w:spacing w:after="0"/>
        <w:ind w:left="0"/>
        <w:jc w:val="both"/>
      </w:pPr>
      <w:r>
        <w:rPr>
          <w:rFonts w:ascii="Times New Roman"/>
          <w:b w:val="false"/>
          <w:i w:val="false"/>
          <w:color w:val="000000"/>
          <w:sz w:val="28"/>
        </w:rPr>
        <w:t>
      - Субальпийские дерново-глинистые;</w:t>
      </w:r>
    </w:p>
    <w:bookmarkEnd w:id="31"/>
    <w:bookmarkStart w:name="z54" w:id="32"/>
    <w:p>
      <w:pPr>
        <w:spacing w:after="0"/>
        <w:ind w:left="0"/>
        <w:jc w:val="both"/>
      </w:pPr>
      <w:r>
        <w:rPr>
          <w:rFonts w:ascii="Times New Roman"/>
          <w:b w:val="false"/>
          <w:i w:val="false"/>
          <w:color w:val="000000"/>
          <w:sz w:val="28"/>
        </w:rPr>
        <w:t>
      - Субальпийская степь-глинистая;</w:t>
      </w:r>
    </w:p>
    <w:bookmarkEnd w:id="32"/>
    <w:bookmarkStart w:name="z55" w:id="33"/>
    <w:p>
      <w:pPr>
        <w:spacing w:after="0"/>
        <w:ind w:left="0"/>
        <w:jc w:val="both"/>
      </w:pPr>
      <w:r>
        <w:rPr>
          <w:rFonts w:ascii="Times New Roman"/>
          <w:b w:val="false"/>
          <w:i w:val="false"/>
          <w:color w:val="000000"/>
          <w:sz w:val="28"/>
        </w:rPr>
        <w:t>
      - Темно-коричневый;</w:t>
      </w:r>
    </w:p>
    <w:bookmarkEnd w:id="33"/>
    <w:bookmarkStart w:name="z56" w:id="34"/>
    <w:p>
      <w:pPr>
        <w:spacing w:after="0"/>
        <w:ind w:left="0"/>
        <w:jc w:val="both"/>
      </w:pPr>
      <w:r>
        <w:rPr>
          <w:rFonts w:ascii="Times New Roman"/>
          <w:b w:val="false"/>
          <w:i w:val="false"/>
          <w:color w:val="000000"/>
          <w:sz w:val="28"/>
        </w:rPr>
        <w:t>
      - Луговая темно-желтая;</w:t>
      </w:r>
    </w:p>
    <w:bookmarkEnd w:id="34"/>
    <w:bookmarkStart w:name="z57" w:id="35"/>
    <w:p>
      <w:pPr>
        <w:spacing w:after="0"/>
        <w:ind w:left="0"/>
        <w:jc w:val="both"/>
      </w:pPr>
      <w:r>
        <w:rPr>
          <w:rFonts w:ascii="Times New Roman"/>
          <w:b w:val="false"/>
          <w:i w:val="false"/>
          <w:color w:val="000000"/>
          <w:sz w:val="28"/>
        </w:rPr>
        <w:t>
      - Луговое болото темно-желтое;</w:t>
      </w:r>
    </w:p>
    <w:bookmarkEnd w:id="35"/>
    <w:bookmarkStart w:name="z58" w:id="36"/>
    <w:p>
      <w:pPr>
        <w:spacing w:after="0"/>
        <w:ind w:left="0"/>
        <w:jc w:val="both"/>
      </w:pPr>
      <w:r>
        <w:rPr>
          <w:rFonts w:ascii="Times New Roman"/>
          <w:b w:val="false"/>
          <w:i w:val="false"/>
          <w:color w:val="000000"/>
          <w:sz w:val="28"/>
        </w:rPr>
        <w:t>
      - Луговая светло-коричневая;</w:t>
      </w:r>
    </w:p>
    <w:bookmarkEnd w:id="36"/>
    <w:bookmarkStart w:name="z59" w:id="37"/>
    <w:p>
      <w:pPr>
        <w:spacing w:after="0"/>
        <w:ind w:left="0"/>
        <w:jc w:val="both"/>
      </w:pPr>
      <w:r>
        <w:rPr>
          <w:rFonts w:ascii="Times New Roman"/>
          <w:b w:val="false"/>
          <w:i w:val="false"/>
          <w:color w:val="000000"/>
          <w:sz w:val="28"/>
        </w:rPr>
        <w:t>
      - Сорт солоноватый;</w:t>
      </w:r>
    </w:p>
    <w:bookmarkEnd w:id="37"/>
    <w:bookmarkStart w:name="z60" w:id="38"/>
    <w:p>
      <w:pPr>
        <w:spacing w:after="0"/>
        <w:ind w:left="0"/>
        <w:jc w:val="both"/>
      </w:pPr>
      <w:r>
        <w:rPr>
          <w:rFonts w:ascii="Times New Roman"/>
          <w:b w:val="false"/>
          <w:i w:val="false"/>
          <w:color w:val="000000"/>
          <w:sz w:val="28"/>
        </w:rPr>
        <w:t>
      - Серо-бурый сорт.</w:t>
      </w:r>
    </w:p>
    <w:bookmarkEnd w:id="38"/>
    <w:bookmarkStart w:name="z61" w:id="39"/>
    <w:p>
      <w:pPr>
        <w:spacing w:after="0"/>
        <w:ind w:left="0"/>
        <w:jc w:val="both"/>
      </w:pPr>
      <w:r>
        <w:rPr>
          <w:rFonts w:ascii="Times New Roman"/>
          <w:b w:val="false"/>
          <w:i w:val="false"/>
          <w:color w:val="000000"/>
          <w:sz w:val="28"/>
        </w:rPr>
        <w:t>
      По материалам полевых исследований в Кегенском районе насчитывается более 154 видов растений. Произрастает 99 видов многолетних растений, злаковых – 33 вида, бобовых–12 видов, кустарниковых трав–6 видов.</w:t>
      </w:r>
    </w:p>
    <w:bookmarkEnd w:id="39"/>
    <w:bookmarkStart w:name="z62" w:id="40"/>
    <w:p>
      <w:pPr>
        <w:spacing w:after="0"/>
        <w:ind w:left="0"/>
        <w:jc w:val="both"/>
      </w:pPr>
      <w:r>
        <w:rPr>
          <w:rFonts w:ascii="Times New Roman"/>
          <w:b w:val="false"/>
          <w:i w:val="false"/>
          <w:color w:val="000000"/>
          <w:sz w:val="28"/>
        </w:rPr>
        <w:t>
      В связи с тем, что на территории Кегенского района наблюдается разнообразие природных условий, кроме Степной, в долине рек Каркара, Кеген, Талды, облепиха, Ирсу, Кенсу, средний Мерке, Шетский Мерке и др. распространены группы луговых растений.</w:t>
      </w:r>
    </w:p>
    <w:bookmarkEnd w:id="40"/>
    <w:bookmarkStart w:name="z63" w:id="41"/>
    <w:p>
      <w:pPr>
        <w:spacing w:after="0"/>
        <w:ind w:left="0"/>
        <w:jc w:val="both"/>
      </w:pPr>
      <w:r>
        <w:rPr>
          <w:rFonts w:ascii="Times New Roman"/>
          <w:b w:val="false"/>
          <w:i w:val="false"/>
          <w:color w:val="000000"/>
          <w:sz w:val="28"/>
        </w:rPr>
        <w:t>
      Пастбища столкнулись с нерегулярным выпасом и из-за частого выпаса видоизменяется растительный покров вышеназванных хлебных угодий. Как наиболее приспособленные к выпасу полевые культуры выходят из травянистого состава, в растительном покрове произрастают сорные травы и полынь. Из культур наиболее устойчива к выпасу бетеге: она хорошо растет после вытаптывания скота. Из-за нерационального выпаса снижается продуктивность пастбищ. Сезон использования сокращается. Для сохранения качественного состава сена, состоящего из различных видов культур, необходимо использовать зерновые угодья в системе пастбищеоборота при нормальной нагрузке скота. Необходимо наладить выпас на таких пастбищах, внедрить систему откачки.</w:t>
      </w:r>
    </w:p>
    <w:bookmarkEnd w:id="41"/>
    <w:bookmarkStart w:name="z64" w:id="42"/>
    <w:p>
      <w:pPr>
        <w:spacing w:after="0"/>
        <w:ind w:left="0"/>
        <w:jc w:val="both"/>
      </w:pPr>
      <w:r>
        <w:rPr>
          <w:rFonts w:ascii="Times New Roman"/>
          <w:b w:val="false"/>
          <w:i w:val="false"/>
          <w:color w:val="000000"/>
          <w:sz w:val="28"/>
        </w:rPr>
        <w:t>
      В результате геоботанического исследования установлено, что пастбищные угодья используются нерационально, отдельные пастбища уничтожаются на уровне отклонений. Пастбища вблизи населенных пунктов, пастбища вокруг мест водопоя скота приведены в полную негодность и не могут быть использованы на выпас. При использовании пастбищ допускается выпас скота на незасушенной почве, в результате чего образуются бугры. Большая часть пастбищ из-за нерегулярного обильного выпаса заросла слабо выветривающимися травами полыни и сена с твердыми стеблями, в результате чего резко снизилась их зернофуражность, снизилась урожайность сухой выветривающейся растительной массы с полей единиц на пастбищах. Сокращается сезон использования пастбищ. Оптимальный срок использования естественных пастбищ в степной зоне в Кегенском районе-весенний, летний, осенний период. С весны скот поедает злаки и раннецветущую траву, затем после выпаса зерна снова прорастают, дают ему подзатыльник и перезимовывают его.</w:t>
      </w:r>
    </w:p>
    <w:bookmarkEnd w:id="42"/>
    <w:bookmarkStart w:name="z65" w:id="43"/>
    <w:p>
      <w:pPr>
        <w:spacing w:after="0"/>
        <w:ind w:left="0"/>
        <w:jc w:val="both"/>
      </w:pPr>
      <w:r>
        <w:rPr>
          <w:rFonts w:ascii="Times New Roman"/>
          <w:b w:val="false"/>
          <w:i w:val="false"/>
          <w:color w:val="000000"/>
          <w:sz w:val="28"/>
        </w:rPr>
        <w:t>
      Рациональное использование пастбищ и сенокосов особенно важно при правильном использовании пастбищных угодий сильно возрастает их продуктивность.</w:t>
      </w:r>
    </w:p>
    <w:bookmarkEnd w:id="43"/>
    <w:bookmarkStart w:name="z66" w:id="44"/>
    <w:p>
      <w:pPr>
        <w:spacing w:after="0"/>
        <w:ind w:left="0"/>
        <w:jc w:val="left"/>
      </w:pPr>
      <w:r>
        <w:rPr>
          <w:rFonts w:ascii="Times New Roman"/>
          <w:b/>
          <w:i w:val="false"/>
          <w:color w:val="000000"/>
        </w:rPr>
        <w:t xml:space="preserve"> 4. Корма для животных</w:t>
      </w:r>
    </w:p>
    <w:bookmarkEnd w:id="44"/>
    <w:bookmarkStart w:name="z67" w:id="45"/>
    <w:p>
      <w:pPr>
        <w:spacing w:after="0"/>
        <w:ind w:left="0"/>
        <w:jc w:val="both"/>
      </w:pPr>
      <w:r>
        <w:rPr>
          <w:rFonts w:ascii="Times New Roman"/>
          <w:b w:val="false"/>
          <w:i w:val="false"/>
          <w:color w:val="000000"/>
          <w:sz w:val="28"/>
        </w:rPr>
        <w:t>
      Мал азығы өндірісі - ауыл шаруашылығының көп қызметті және байланыстырушы жетекші саласы, көп жағдайда мал шаруашылығы жағдайын анықтайды және өсімдік шаруашылығының, өсімдік шаруашылығының одан әрі дамуының, рационалды түрде табиғат пайдаланудың, ауа-райының және жағымсыз процесстердің әсеріне агро жүйелердің және агроландшафттардың тұрақтылығын арттырудың, маңызы бар ауыл шаруашылығы алқаптарын сақтаудың және топырақтың өнімділігін арттырудың, аудан аумағының экологиялық жағдайын жақсартудың және қоршаған ортаны қорғаудың басты проблемаларын шешуге маңызды әсерін тигізеді.</w:t>
      </w:r>
    </w:p>
    <w:bookmarkEnd w:id="45"/>
    <w:bookmarkStart w:name="z68" w:id="46"/>
    <w:p>
      <w:pPr>
        <w:spacing w:after="0"/>
        <w:ind w:left="0"/>
        <w:jc w:val="both"/>
      </w:pPr>
      <w:r>
        <w:rPr>
          <w:rFonts w:ascii="Times New Roman"/>
          <w:b w:val="false"/>
          <w:i w:val="false"/>
          <w:color w:val="000000"/>
          <w:sz w:val="28"/>
        </w:rPr>
        <w:t xml:space="preserve">
      Кеген ауданының аумағында жануарлардың негізгі қорегі жайылымдық, астық, табиғи және себілген шабындықтардың шөбі болып табылады. Ірі қара малдың бір басына 2,5 гектар жайылымнан келеді, ол жасыл массаның орташа өнімділігінде 2 т/га., олар жайылымдық астыққа жануарларды қамтамасыз етеді. </w:t>
      </w:r>
    </w:p>
    <w:bookmarkEnd w:id="46"/>
    <w:bookmarkStart w:name="z69" w:id="47"/>
    <w:p>
      <w:pPr>
        <w:spacing w:after="0"/>
        <w:ind w:left="0"/>
        <w:jc w:val="both"/>
      </w:pPr>
      <w:r>
        <w:rPr>
          <w:rFonts w:ascii="Times New Roman"/>
          <w:b w:val="false"/>
          <w:i w:val="false"/>
          <w:color w:val="000000"/>
          <w:sz w:val="28"/>
        </w:rPr>
        <w:t xml:space="preserve">
      Кеген ауданының аумағындағы астық дақылдарының орташа өнімділігі туралы деректер № 6 кестеде көрсетілген. </w:t>
      </w:r>
    </w:p>
    <w:bookmarkEnd w:id="47"/>
    <w:bookmarkStart w:name="z70" w:id="48"/>
    <w:p>
      <w:pPr>
        <w:spacing w:after="0"/>
        <w:ind w:left="0"/>
        <w:jc w:val="both"/>
      </w:pPr>
      <w:r>
        <w:rPr>
          <w:rFonts w:ascii="Times New Roman"/>
          <w:b w:val="false"/>
          <w:i w:val="false"/>
          <w:color w:val="000000"/>
          <w:sz w:val="28"/>
        </w:rPr>
        <w:t>
      Кормопроизводство-ведущая многопрофильная и связующая отрасль сельского хозяйства, во многом определяющая состояние животноводства и оказывающая важное влияние на решение ключевых проблем растениеводства, дальнейшего развития растениеводства, рационального природопользования, повышения устойчивости агросистем и агроландшафтов к влиянию погодных и негативных процессов, сохранения значимых сельскохозяйственных угодий и повышения продуктивности почв, улучшения экологического состояния территории района и охраны окружающей среды.</w:t>
      </w:r>
    </w:p>
    <w:bookmarkEnd w:id="48"/>
    <w:bookmarkStart w:name="z71" w:id="49"/>
    <w:p>
      <w:pPr>
        <w:spacing w:after="0"/>
        <w:ind w:left="0"/>
        <w:jc w:val="both"/>
      </w:pPr>
      <w:r>
        <w:rPr>
          <w:rFonts w:ascii="Times New Roman"/>
          <w:b w:val="false"/>
          <w:i w:val="false"/>
          <w:color w:val="000000"/>
          <w:sz w:val="28"/>
        </w:rPr>
        <w:t>
      На территории Кегенского района основным кормом для животных является пастбищный, зерновой, природный и сев сенокосов. На одну голову крупного рогатого скота приходится 2,5 гектара пастбищ, что при средней урожайности зеленой массы составляет 2 т / га., они обеспечивают животных пастбищным зерном.</w:t>
      </w:r>
    </w:p>
    <w:bookmarkEnd w:id="49"/>
    <w:bookmarkStart w:name="z72" w:id="50"/>
    <w:p>
      <w:pPr>
        <w:spacing w:after="0"/>
        <w:ind w:left="0"/>
        <w:jc w:val="both"/>
      </w:pPr>
      <w:r>
        <w:rPr>
          <w:rFonts w:ascii="Times New Roman"/>
          <w:b w:val="false"/>
          <w:i w:val="false"/>
          <w:color w:val="000000"/>
          <w:sz w:val="28"/>
        </w:rPr>
        <w:t>
      Данные о средней урожайности зерновых культур на территории Кегенского района представлены в таблице № 6.</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 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7"/>
        <w:gridCol w:w="1277"/>
        <w:gridCol w:w="2878"/>
        <w:gridCol w:w="5268"/>
      </w:tblGrid>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Район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посевы</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т/га</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корма</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многолетних трав</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Травы естественных угодий</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74" w:id="51"/>
    <w:p>
      <w:pPr>
        <w:spacing w:after="0"/>
        <w:ind w:left="0"/>
        <w:jc w:val="both"/>
      </w:pPr>
      <w:r>
        <w:rPr>
          <w:rFonts w:ascii="Times New Roman"/>
          <w:b w:val="false"/>
          <w:i w:val="false"/>
          <w:color w:val="000000"/>
          <w:sz w:val="28"/>
        </w:rPr>
        <w:t>
      Основные проблемы отрасли кормопроизводства:</w:t>
      </w:r>
    </w:p>
    <w:bookmarkEnd w:id="51"/>
    <w:bookmarkStart w:name="z75" w:id="52"/>
    <w:p>
      <w:pPr>
        <w:spacing w:after="0"/>
        <w:ind w:left="0"/>
        <w:jc w:val="both"/>
      </w:pPr>
      <w:r>
        <w:rPr>
          <w:rFonts w:ascii="Times New Roman"/>
          <w:b w:val="false"/>
          <w:i w:val="false"/>
          <w:color w:val="000000"/>
          <w:sz w:val="28"/>
        </w:rPr>
        <w:t>
      - Дефицит орошаемых земель;</w:t>
      </w:r>
    </w:p>
    <w:bookmarkEnd w:id="52"/>
    <w:bookmarkStart w:name="z76" w:id="53"/>
    <w:p>
      <w:pPr>
        <w:spacing w:after="0"/>
        <w:ind w:left="0"/>
        <w:jc w:val="both"/>
      </w:pPr>
      <w:r>
        <w:rPr>
          <w:rFonts w:ascii="Times New Roman"/>
          <w:b w:val="false"/>
          <w:i w:val="false"/>
          <w:color w:val="000000"/>
          <w:sz w:val="28"/>
        </w:rPr>
        <w:t>
      - Устаревание сельскохозяйственной техники;</w:t>
      </w:r>
    </w:p>
    <w:bookmarkEnd w:id="53"/>
    <w:bookmarkStart w:name="z77" w:id="54"/>
    <w:p>
      <w:pPr>
        <w:spacing w:after="0"/>
        <w:ind w:left="0"/>
        <w:jc w:val="both"/>
      </w:pPr>
      <w:r>
        <w:rPr>
          <w:rFonts w:ascii="Times New Roman"/>
          <w:b w:val="false"/>
          <w:i w:val="false"/>
          <w:color w:val="000000"/>
          <w:sz w:val="28"/>
        </w:rPr>
        <w:t>
      - Снижение урожая натуральных и многолетних трав;</w:t>
      </w:r>
    </w:p>
    <w:bookmarkEnd w:id="54"/>
    <w:bookmarkStart w:name="z78" w:id="55"/>
    <w:p>
      <w:pPr>
        <w:spacing w:after="0"/>
        <w:ind w:left="0"/>
        <w:jc w:val="both"/>
      </w:pPr>
      <w:r>
        <w:rPr>
          <w:rFonts w:ascii="Times New Roman"/>
          <w:b w:val="false"/>
          <w:i w:val="false"/>
          <w:color w:val="000000"/>
          <w:sz w:val="28"/>
        </w:rPr>
        <w:t>
      - Выпас сенокосных или пахотных угодий по причине неиспользования сезонных пастбищ хозяйствами и оставления скота без присмотра;</w:t>
      </w:r>
    </w:p>
    <w:bookmarkEnd w:id="55"/>
    <w:bookmarkStart w:name="z79" w:id="56"/>
    <w:p>
      <w:pPr>
        <w:spacing w:after="0"/>
        <w:ind w:left="0"/>
        <w:jc w:val="both"/>
      </w:pPr>
      <w:r>
        <w:rPr>
          <w:rFonts w:ascii="Times New Roman"/>
          <w:b w:val="false"/>
          <w:i w:val="false"/>
          <w:color w:val="000000"/>
          <w:sz w:val="28"/>
        </w:rPr>
        <w:t>
      - Неиспользование землепользователями земельных участков не по назначению;</w:t>
      </w:r>
    </w:p>
    <w:bookmarkEnd w:id="56"/>
    <w:bookmarkStart w:name="z80" w:id="57"/>
    <w:p>
      <w:pPr>
        <w:spacing w:after="0"/>
        <w:ind w:left="0"/>
        <w:jc w:val="left"/>
      </w:pPr>
      <w:r>
        <w:rPr>
          <w:rFonts w:ascii="Times New Roman"/>
          <w:b/>
          <w:i w:val="false"/>
          <w:color w:val="000000"/>
        </w:rPr>
        <w:t xml:space="preserve"> 5. Жайылым айналымы</w:t>
      </w:r>
    </w:p>
    <w:bookmarkEnd w:id="57"/>
    <w:bookmarkStart w:name="z81" w:id="58"/>
    <w:p>
      <w:pPr>
        <w:spacing w:after="0"/>
        <w:ind w:left="0"/>
        <w:jc w:val="both"/>
      </w:pPr>
      <w:r>
        <w:rPr>
          <w:rFonts w:ascii="Times New Roman"/>
          <w:b w:val="false"/>
          <w:i w:val="false"/>
          <w:color w:val="000000"/>
          <w:sz w:val="28"/>
        </w:rPr>
        <w:t>
      В целях улучшения продуктивности пастбищ и состава трав организуется пастбищеоборот. Пастбищеоборот-система использования и ухода за пастбищами, направленная на повышение продуктивности пастбищ способом выпаса, отдыха и дежурства сенокоса по годам на приусадебном участке совместно с другими мероприятиями по обновлению и улучшению травы.</w:t>
      </w:r>
    </w:p>
    <w:bookmarkEnd w:id="58"/>
    <w:bookmarkStart w:name="z82" w:id="59"/>
    <w:p>
      <w:pPr>
        <w:spacing w:after="0"/>
        <w:ind w:left="0"/>
        <w:jc w:val="both"/>
      </w:pPr>
      <w:r>
        <w:rPr>
          <w:rFonts w:ascii="Times New Roman"/>
          <w:b w:val="false"/>
          <w:i w:val="false"/>
          <w:color w:val="000000"/>
          <w:sz w:val="28"/>
        </w:rPr>
        <w:t>
      Важную роль в повышении продуктивности пастбищ играет правильная организация их территории, заключающаяся в размещении стадных и стадных участков, летних лагерей, водных комплексов и скотопрогонных трасс.</w:t>
      </w:r>
    </w:p>
    <w:bookmarkEnd w:id="59"/>
    <w:bookmarkStart w:name="z83" w:id="60"/>
    <w:p>
      <w:pPr>
        <w:spacing w:after="0"/>
        <w:ind w:left="0"/>
        <w:jc w:val="both"/>
      </w:pPr>
      <w:r>
        <w:rPr>
          <w:rFonts w:ascii="Times New Roman"/>
          <w:b w:val="false"/>
          <w:i w:val="false"/>
          <w:color w:val="000000"/>
          <w:sz w:val="28"/>
        </w:rPr>
        <w:t>
      На естественных пастбищах предусматривается организация четырехполосного пастбищного оборота со следующими сроками, указанными в таблице № 7.</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 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232"/>
        <w:gridCol w:w="2597"/>
        <w:gridCol w:w="2597"/>
        <w:gridCol w:w="2598"/>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отгона животных на пастбища и возврата с пастбищ</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Осень</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1"/>
          <w:p>
            <w:pPr>
              <w:spacing w:after="20"/>
              <w:ind w:left="20"/>
              <w:jc w:val="both"/>
            </w:pPr>
            <w:r>
              <w:rPr>
                <w:rFonts w:ascii="Times New Roman"/>
                <w:b w:val="false"/>
                <w:i w:val="false"/>
                <w:color w:val="000000"/>
                <w:sz w:val="20"/>
              </w:rPr>
              <w:t>
ІІ декада марта</w:t>
            </w:r>
            <w:r>
              <w:br/>
            </w:r>
            <w:r>
              <w:rPr>
                <w:rFonts w:ascii="Times New Roman"/>
                <w:b w:val="false"/>
                <w:i w:val="false"/>
                <w:color w:val="000000"/>
                <w:sz w:val="20"/>
              </w:rPr>
              <w:t>
ІІ декада мая</w:t>
            </w:r>
          </w:p>
          <w:bookmarkEnd w:id="61"/>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2"/>
          <w:p>
            <w:pPr>
              <w:spacing w:after="20"/>
              <w:ind w:left="20"/>
              <w:jc w:val="both"/>
            </w:pPr>
            <w:r>
              <w:rPr>
                <w:rFonts w:ascii="Times New Roman"/>
                <w:b w:val="false"/>
                <w:i w:val="false"/>
                <w:color w:val="000000"/>
                <w:sz w:val="20"/>
              </w:rPr>
              <w:t>
ІІ декада мая</w:t>
            </w:r>
            <w:r>
              <w:br/>
            </w:r>
            <w:r>
              <w:rPr>
                <w:rFonts w:ascii="Times New Roman"/>
                <w:b w:val="false"/>
                <w:i w:val="false"/>
                <w:color w:val="000000"/>
                <w:sz w:val="20"/>
              </w:rPr>
              <w:t>
II-я декада октября</w:t>
            </w:r>
          </w:p>
          <w:bookmarkEnd w:id="62"/>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3"/>
          <w:p>
            <w:pPr>
              <w:spacing w:after="20"/>
              <w:ind w:left="20"/>
              <w:jc w:val="both"/>
            </w:pPr>
            <w:r>
              <w:rPr>
                <w:rFonts w:ascii="Times New Roman"/>
                <w:b w:val="false"/>
                <w:i w:val="false"/>
                <w:color w:val="000000"/>
                <w:sz w:val="20"/>
              </w:rPr>
              <w:t>
II-я декада октября</w:t>
            </w:r>
            <w:r>
              <w:br/>
            </w:r>
            <w:r>
              <w:rPr>
                <w:rFonts w:ascii="Times New Roman"/>
                <w:b w:val="false"/>
                <w:i w:val="false"/>
                <w:color w:val="000000"/>
                <w:sz w:val="20"/>
              </w:rPr>
              <w:t>
III декада ноября</w:t>
            </w:r>
          </w:p>
          <w:bookmarkEnd w:id="63"/>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4"/>
          <w:p>
            <w:pPr>
              <w:spacing w:after="20"/>
              <w:ind w:left="20"/>
              <w:jc w:val="both"/>
            </w:pPr>
            <w:r>
              <w:rPr>
                <w:rFonts w:ascii="Times New Roman"/>
                <w:b w:val="false"/>
                <w:i w:val="false"/>
                <w:color w:val="000000"/>
                <w:sz w:val="20"/>
              </w:rPr>
              <w:t>
III декада ноября</w:t>
            </w:r>
            <w:r>
              <w:br/>
            </w:r>
            <w:r>
              <w:rPr>
                <w:rFonts w:ascii="Times New Roman"/>
                <w:b w:val="false"/>
                <w:i w:val="false"/>
                <w:color w:val="000000"/>
                <w:sz w:val="20"/>
              </w:rPr>
              <w:t>
ІІ декада марта</w:t>
            </w:r>
          </w:p>
          <w:bookmarkEnd w:id="64"/>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5"/>
          <w:p>
            <w:pPr>
              <w:spacing w:after="20"/>
              <w:ind w:left="20"/>
              <w:jc w:val="both"/>
            </w:pPr>
            <w:r>
              <w:rPr>
                <w:rFonts w:ascii="Times New Roman"/>
                <w:b w:val="false"/>
                <w:i w:val="false"/>
                <w:color w:val="000000"/>
                <w:sz w:val="20"/>
              </w:rPr>
              <w:t>
ІІ декада марта</w:t>
            </w:r>
            <w:r>
              <w:br/>
            </w:r>
            <w:r>
              <w:rPr>
                <w:rFonts w:ascii="Times New Roman"/>
                <w:b w:val="false"/>
                <w:i w:val="false"/>
                <w:color w:val="000000"/>
                <w:sz w:val="20"/>
              </w:rPr>
              <w:t>
ІІ декада мая</w:t>
            </w:r>
          </w:p>
          <w:bookmarkEnd w:id="65"/>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6"/>
          <w:p>
            <w:pPr>
              <w:spacing w:after="20"/>
              <w:ind w:left="20"/>
              <w:jc w:val="both"/>
            </w:pPr>
            <w:r>
              <w:rPr>
                <w:rFonts w:ascii="Times New Roman"/>
                <w:b w:val="false"/>
                <w:i w:val="false"/>
                <w:color w:val="000000"/>
                <w:sz w:val="20"/>
              </w:rPr>
              <w:t>
ІІ декада мая</w:t>
            </w:r>
            <w:r>
              <w:br/>
            </w:r>
            <w:r>
              <w:rPr>
                <w:rFonts w:ascii="Times New Roman"/>
                <w:b w:val="false"/>
                <w:i w:val="false"/>
                <w:color w:val="000000"/>
                <w:sz w:val="20"/>
              </w:rPr>
              <w:t>
II-я декада октября</w:t>
            </w:r>
          </w:p>
          <w:bookmarkEnd w:id="66"/>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7"/>
          <w:p>
            <w:pPr>
              <w:spacing w:after="20"/>
              <w:ind w:left="20"/>
              <w:jc w:val="both"/>
            </w:pPr>
            <w:r>
              <w:rPr>
                <w:rFonts w:ascii="Times New Roman"/>
                <w:b w:val="false"/>
                <w:i w:val="false"/>
                <w:color w:val="000000"/>
                <w:sz w:val="20"/>
              </w:rPr>
              <w:t>
II-я декада октября</w:t>
            </w:r>
            <w:r>
              <w:br/>
            </w:r>
            <w:r>
              <w:rPr>
                <w:rFonts w:ascii="Times New Roman"/>
                <w:b w:val="false"/>
                <w:i w:val="false"/>
                <w:color w:val="000000"/>
                <w:sz w:val="20"/>
              </w:rPr>
              <w:t>
III декада ноября</w:t>
            </w:r>
          </w:p>
          <w:bookmarkEnd w:id="67"/>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8"/>
          <w:p>
            <w:pPr>
              <w:spacing w:after="20"/>
              <w:ind w:left="20"/>
              <w:jc w:val="both"/>
            </w:pPr>
            <w:r>
              <w:rPr>
                <w:rFonts w:ascii="Times New Roman"/>
                <w:b w:val="false"/>
                <w:i w:val="false"/>
                <w:color w:val="000000"/>
                <w:sz w:val="20"/>
              </w:rPr>
              <w:t>
III декада ноября</w:t>
            </w:r>
            <w:r>
              <w:br/>
            </w:r>
            <w:r>
              <w:rPr>
                <w:rFonts w:ascii="Times New Roman"/>
                <w:b w:val="false"/>
                <w:i w:val="false"/>
                <w:color w:val="000000"/>
                <w:sz w:val="20"/>
              </w:rPr>
              <w:t>
ІІ декада марта</w:t>
            </w:r>
          </w:p>
          <w:bookmarkEnd w:id="68"/>
        </w:tc>
      </w:tr>
    </w:tbl>
    <w:bookmarkStart w:name="z93" w:id="69"/>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1723"/>
        <w:gridCol w:w="4269"/>
        <w:gridCol w:w="3634"/>
      </w:tblGrid>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сельских округов</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перегона животных на отгонные пастбища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возврата скота с отгонных пастбищ</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Кегенский сельский округ</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III-я декада мая</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II-я декада сентября</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Булеказский сельский округ</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III-я декада мая</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II-я декада сентября</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Алгабасский сельский округ</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III-я декада мая</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II-я декада сентября</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Жаланашский сельский округ</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III-я декада мая</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II-я декада сентября</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Жылысайский сельский округ</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III-я декада мая</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II-я декада сентября</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III-я декада мая</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II-я декада сентября</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Каркаринский сельский округ</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II-я декада мая</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II-я декада сентября</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Сатинский сельский округ</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II-я декада мая</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II-я декада сентября</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Тасашинский сельский округ</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II-я декада мая</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II-я декада сентября</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Тупиковский сельский округ</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II-я декада мая</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II-я декада сентября</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Узунбулакский сельский округ</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II-я декада мая</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II-я декада сентября</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Шыганакский сельский округ</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II-я декада мая</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II-я декада сентября</w:t>
            </w:r>
          </w:p>
        </w:tc>
      </w:tr>
    </w:tbl>
    <w:bookmarkStart w:name="z94" w:id="70"/>
    <w:p>
      <w:pPr>
        <w:spacing w:after="0"/>
        <w:ind w:left="0"/>
        <w:jc w:val="both"/>
      </w:pPr>
      <w:r>
        <w:rPr>
          <w:rFonts w:ascii="Times New Roman"/>
          <w:b w:val="false"/>
          <w:i w:val="false"/>
          <w:color w:val="000000"/>
          <w:sz w:val="28"/>
        </w:rPr>
        <w:t>
      Данные о численности стада, Отар по видам и возрастно-половым группам сельскохозяйственных животных в разрезе сельского округа представлены в таблице №8.</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 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6"/>
        <w:gridCol w:w="2639"/>
        <w:gridCol w:w="5565"/>
      </w:tblGrid>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сельских округов</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стад, </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Кегенский сельский округ</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Булеказский сельский округ</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Алгабасский сельский округ</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Жаланашский сельский округ</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Жылысайский сельский округ</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Каркаринский сельский округ</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Сатинский сельский округ</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Тасашинский сельский округ</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Тупиковский сельский округ</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Узунбулакский сельский округ</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Шыганакский сельский округ</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bl>
    <w:bookmarkStart w:name="z96" w:id="71"/>
    <w:p>
      <w:pPr>
        <w:spacing w:after="0"/>
        <w:ind w:left="0"/>
        <w:jc w:val="left"/>
      </w:pPr>
      <w:r>
        <w:rPr>
          <w:rFonts w:ascii="Times New Roman"/>
          <w:b/>
          <w:i w:val="false"/>
          <w:color w:val="000000"/>
        </w:rPr>
        <w:t xml:space="preserve"> 6. Водопой, график водопоя</w:t>
      </w:r>
    </w:p>
    <w:bookmarkEnd w:id="71"/>
    <w:bookmarkStart w:name="z97" w:id="72"/>
    <w:p>
      <w:pPr>
        <w:spacing w:after="0"/>
        <w:ind w:left="0"/>
        <w:jc w:val="both"/>
      </w:pPr>
      <w:r>
        <w:rPr>
          <w:rFonts w:ascii="Times New Roman"/>
          <w:b w:val="false"/>
          <w:i w:val="false"/>
          <w:color w:val="000000"/>
          <w:sz w:val="28"/>
        </w:rPr>
        <w:t>
       Водопойные пункты размещают с учетом видов и групп выпасного поголовья животных, сезонности их использования участков, рельефа местности. При размещении вод источников необходимо учитывать удобные подходы к водопою и соблюдать санитарно-профилактические правила. В этих целях нельзя допускать размещение вод источников на заболоченных, затапливаемых и загрязненных участках, а также проектировать к обслуживанию из одного водопойного пункта не более 250 голов крупного рогатого скота или 2000 овец. Лучше всего, если животные имеют свободный доступ к воде и пьют в любое время.</w:t>
      </w:r>
    </w:p>
    <w:bookmarkEnd w:id="72"/>
    <w:bookmarkStart w:name="z98" w:id="73"/>
    <w:p>
      <w:pPr>
        <w:spacing w:after="0"/>
        <w:ind w:left="0"/>
        <w:jc w:val="both"/>
      </w:pPr>
      <w:r>
        <w:rPr>
          <w:rFonts w:ascii="Times New Roman"/>
          <w:b w:val="false"/>
          <w:i w:val="false"/>
          <w:color w:val="000000"/>
          <w:sz w:val="28"/>
        </w:rPr>
        <w:t>
       Лучшими источниками пастбищного водоснабжения являются реки, озера и пруды с проточной водой. Расчет потребности в воде по видам скота и сезонам года производится по нормам водопотребления, установленным для определенной породы животных.</w:t>
      </w:r>
    </w:p>
    <w:bookmarkEnd w:id="73"/>
    <w:bookmarkStart w:name="z99" w:id="74"/>
    <w:p>
      <w:pPr>
        <w:spacing w:after="0"/>
        <w:ind w:left="0"/>
        <w:jc w:val="both"/>
      </w:pPr>
      <w:r>
        <w:rPr>
          <w:rFonts w:ascii="Times New Roman"/>
          <w:b w:val="false"/>
          <w:i w:val="false"/>
          <w:color w:val="000000"/>
          <w:sz w:val="28"/>
        </w:rPr>
        <w:t xml:space="preserve">
       Среднесуточная норма потребления воды по видам сельскохозяйственных животных утверждена Приказом Заместителя Премьер-Министра Республики Казахстан - Министра сельского хозяйства Республики Казахстан от 24 апреля 2017 года </w:t>
      </w:r>
      <w:r>
        <w:rPr>
          <w:rFonts w:ascii="Times New Roman"/>
          <w:b w:val="false"/>
          <w:i w:val="false"/>
          <w:color w:val="000000"/>
          <w:sz w:val="28"/>
        </w:rPr>
        <w:t>№173</w:t>
      </w:r>
      <w:r>
        <w:rPr>
          <w:rFonts w:ascii="Times New Roman"/>
          <w:b w:val="false"/>
          <w:i w:val="false"/>
          <w:color w:val="000000"/>
          <w:sz w:val="28"/>
        </w:rPr>
        <w:t xml:space="preserve"> "Об утверждении Правил рационального использования пастбищ" (зарегистрировано в реестре государственной регистрации нормативных правовых актов № 15090):</w:t>
      </w:r>
    </w:p>
    <w:bookmarkEnd w:id="74"/>
    <w:bookmarkStart w:name="z100" w:id="75"/>
    <w:p>
      <w:pPr>
        <w:spacing w:after="0"/>
        <w:ind w:left="0"/>
        <w:jc w:val="both"/>
      </w:pPr>
      <w:r>
        <w:rPr>
          <w:rFonts w:ascii="Times New Roman"/>
          <w:b w:val="false"/>
          <w:i w:val="false"/>
          <w:color w:val="000000"/>
          <w:sz w:val="28"/>
        </w:rPr>
        <w:t>
       1) для крупного рогатого скота и лошадей 45-60 литров;</w:t>
      </w:r>
    </w:p>
    <w:bookmarkEnd w:id="75"/>
    <w:bookmarkStart w:name="z101" w:id="76"/>
    <w:p>
      <w:pPr>
        <w:spacing w:after="0"/>
        <w:ind w:left="0"/>
        <w:jc w:val="both"/>
      </w:pPr>
      <w:r>
        <w:rPr>
          <w:rFonts w:ascii="Times New Roman"/>
          <w:b w:val="false"/>
          <w:i w:val="false"/>
          <w:color w:val="000000"/>
          <w:sz w:val="28"/>
        </w:rPr>
        <w:t>
       2) для молодняка в возрасте 1-2 года 25-35 литров;</w:t>
      </w:r>
    </w:p>
    <w:bookmarkEnd w:id="76"/>
    <w:bookmarkStart w:name="z102" w:id="77"/>
    <w:p>
      <w:pPr>
        <w:spacing w:after="0"/>
        <w:ind w:left="0"/>
        <w:jc w:val="both"/>
      </w:pPr>
      <w:r>
        <w:rPr>
          <w:rFonts w:ascii="Times New Roman"/>
          <w:b w:val="false"/>
          <w:i w:val="false"/>
          <w:color w:val="000000"/>
          <w:sz w:val="28"/>
        </w:rPr>
        <w:t>
       3) для молодняка младше одного года 10-15 литров;</w:t>
      </w:r>
    </w:p>
    <w:bookmarkEnd w:id="77"/>
    <w:bookmarkStart w:name="z103" w:id="78"/>
    <w:p>
      <w:pPr>
        <w:spacing w:after="0"/>
        <w:ind w:left="0"/>
        <w:jc w:val="both"/>
      </w:pPr>
      <w:r>
        <w:rPr>
          <w:rFonts w:ascii="Times New Roman"/>
          <w:b w:val="false"/>
          <w:i w:val="false"/>
          <w:color w:val="000000"/>
          <w:sz w:val="28"/>
        </w:rPr>
        <w:t>
       4) для овец и коз 3-5 литров;</w:t>
      </w:r>
    </w:p>
    <w:bookmarkEnd w:id="78"/>
    <w:bookmarkStart w:name="z104" w:id="79"/>
    <w:p>
      <w:pPr>
        <w:spacing w:after="0"/>
        <w:ind w:left="0"/>
        <w:jc w:val="both"/>
      </w:pPr>
      <w:r>
        <w:rPr>
          <w:rFonts w:ascii="Times New Roman"/>
          <w:b w:val="false"/>
          <w:i w:val="false"/>
          <w:color w:val="000000"/>
          <w:sz w:val="28"/>
        </w:rPr>
        <w:t>
       5) для ягнят 1-2 литра.</w:t>
      </w:r>
    </w:p>
    <w:bookmarkEnd w:id="79"/>
    <w:bookmarkStart w:name="z105" w:id="80"/>
    <w:p>
      <w:pPr>
        <w:spacing w:after="0"/>
        <w:ind w:left="0"/>
        <w:jc w:val="both"/>
      </w:pPr>
      <w:r>
        <w:rPr>
          <w:rFonts w:ascii="Times New Roman"/>
          <w:b w:val="false"/>
          <w:i w:val="false"/>
          <w:color w:val="000000"/>
          <w:sz w:val="28"/>
        </w:rPr>
        <w:t>
       Допустимое расстояние от пастбища до водопоя для коров – 1,5 киллометров (далее - км), для телят 1 км, для молодняка крупного рогатого скота – 2,5 км, для овец и коз – 3 км, для лошадей и верблюдов до 4,6 км.</w:t>
      </w:r>
    </w:p>
    <w:bookmarkEnd w:id="80"/>
    <w:bookmarkStart w:name="z106" w:id="81"/>
    <w:p>
      <w:pPr>
        <w:spacing w:after="0"/>
        <w:ind w:left="0"/>
        <w:jc w:val="both"/>
      </w:pPr>
      <w:r>
        <w:rPr>
          <w:rFonts w:ascii="Times New Roman"/>
          <w:b w:val="false"/>
          <w:i w:val="false"/>
          <w:color w:val="000000"/>
          <w:sz w:val="28"/>
        </w:rPr>
        <w:t>
       Пастбищные земли Кегенского района полностью обеспечены водой. Имеются озера, родники, пруды и другие. Исторически сложилось, что все пастбища обеспечены реками, озерами и прудами с проточной водой, источниками водопоя.</w:t>
      </w:r>
    </w:p>
    <w:bookmarkEnd w:id="81"/>
    <w:bookmarkStart w:name="z107" w:id="82"/>
    <w:p>
      <w:pPr>
        <w:spacing w:after="0"/>
        <w:ind w:left="0"/>
        <w:jc w:val="both"/>
      </w:pPr>
      <w:r>
        <w:rPr>
          <w:rFonts w:ascii="Times New Roman"/>
          <w:b w:val="false"/>
          <w:i w:val="false"/>
          <w:color w:val="000000"/>
          <w:sz w:val="28"/>
        </w:rPr>
        <w:t>
       Устройство прогонов. Прогоны должны быть достаточной ширины, чтобы скот не теснился и не скучивался. Ширина прогонов на 100 голов для крупного рогатого скота 20-25 метров (далее - м), молодняка до одного года 10-15 м, табуна лошадей 15-20 м, для отары овец голов 30-35 м.</w:t>
      </w:r>
    </w:p>
    <w:bookmarkEnd w:id="82"/>
    <w:bookmarkStart w:name="z108" w:id="83"/>
    <w:p>
      <w:pPr>
        <w:spacing w:after="0"/>
        <w:ind w:left="0"/>
        <w:jc w:val="both"/>
      </w:pPr>
      <w:r>
        <w:rPr>
          <w:rFonts w:ascii="Times New Roman"/>
          <w:b w:val="false"/>
          <w:i w:val="false"/>
          <w:color w:val="000000"/>
          <w:sz w:val="28"/>
        </w:rPr>
        <w:t xml:space="preserve">
       Скотопрогоны предусматриваются для предупреждения вытаптывания травостоя естественных трав и посевов сельскохозяйственных культур. На пастбищных угодьях скотопрогоны, как правило, должны совмещаться с границами гуртовых (отарных) участков, полями пастбищеоборотов. </w:t>
      </w:r>
    </w:p>
    <w:bookmarkEnd w:id="83"/>
    <w:bookmarkStart w:name="z109" w:id="84"/>
    <w:p>
      <w:pPr>
        <w:spacing w:after="0"/>
        <w:ind w:left="0"/>
        <w:jc w:val="left"/>
      </w:pPr>
      <w:r>
        <w:rPr>
          <w:rFonts w:ascii="Times New Roman"/>
          <w:b/>
          <w:i w:val="false"/>
          <w:color w:val="000000"/>
        </w:rPr>
        <w:t xml:space="preserve"> 7. Размещение скотопрогонов</w:t>
      </w:r>
    </w:p>
    <w:bookmarkEnd w:id="84"/>
    <w:bookmarkStart w:name="z110" w:id="85"/>
    <w:p>
      <w:pPr>
        <w:spacing w:after="0"/>
        <w:ind w:left="0"/>
        <w:jc w:val="both"/>
      </w:pPr>
      <w:r>
        <w:rPr>
          <w:rFonts w:ascii="Times New Roman"/>
          <w:b w:val="false"/>
          <w:i w:val="false"/>
          <w:color w:val="000000"/>
          <w:sz w:val="28"/>
        </w:rPr>
        <w:t>
       Для перегона скота к местам выпаса, источникам водопоя, лагерям, фермам, из загона в загон проектируют скотопрогоны. Скотопрогоны размещают с расчетом обслуживания ими наибольшей площади и создания удобной и кратчайшей связи пастбищ с местами стоянки и водопоя скота.</w:t>
      </w:r>
    </w:p>
    <w:bookmarkEnd w:id="85"/>
    <w:bookmarkStart w:name="z111" w:id="86"/>
    <w:p>
      <w:pPr>
        <w:spacing w:after="0"/>
        <w:ind w:left="0"/>
        <w:jc w:val="both"/>
      </w:pPr>
      <w:r>
        <w:rPr>
          <w:rFonts w:ascii="Times New Roman"/>
          <w:b w:val="false"/>
          <w:i w:val="false"/>
          <w:color w:val="000000"/>
          <w:sz w:val="28"/>
        </w:rPr>
        <w:t xml:space="preserve">
       Предпочтительны прямолинейные скотопрогоны, без лишних изгибов и поворотов, с тупыми углами поворотов. Скотопрогоны необходимо размещать таким образом, чтобы они по возможности не пересекали рек, ручьев, канав, не проходили по заболоченным местам, по бровкам балок и крутых оврагов, без устройства через них переправ, а также по тальвегам балок. </w:t>
      </w:r>
    </w:p>
    <w:bookmarkEnd w:id="86"/>
    <w:bookmarkStart w:name="z112" w:id="87"/>
    <w:p>
      <w:pPr>
        <w:spacing w:after="0"/>
        <w:ind w:left="0"/>
        <w:jc w:val="both"/>
      </w:pPr>
      <w:r>
        <w:rPr>
          <w:rFonts w:ascii="Times New Roman"/>
          <w:b w:val="false"/>
          <w:i w:val="false"/>
          <w:color w:val="000000"/>
          <w:sz w:val="28"/>
        </w:rPr>
        <w:t>
       Ширина скотопрогонов зависит от вида животных, размера гуртов и отар, а также механического состава почв, степени сбитости травостоя и эрозионных процессов. Не следует совмещать скотопрогоны с дорожной сетью, а особенно с районными и областными дорогами.</w:t>
      </w:r>
    </w:p>
    <w:bookmarkEnd w:id="87"/>
    <w:bookmarkStart w:name="z113" w:id="88"/>
    <w:p>
      <w:pPr>
        <w:spacing w:after="0"/>
        <w:ind w:left="0"/>
        <w:jc w:val="both"/>
      </w:pPr>
      <w:r>
        <w:rPr>
          <w:rFonts w:ascii="Times New Roman"/>
          <w:b w:val="false"/>
          <w:i w:val="false"/>
          <w:color w:val="000000"/>
          <w:sz w:val="28"/>
        </w:rPr>
        <w:t>
       При необходимости проектом предусматривается профилирование скотопрогонов и залужение их наиболее устойчивыми к вытаптыванию травосмесями. Скотопрогоны должны проектироваться на расстоянии не ближе 2-3 км от животноводческих изоляторов, скотомогильников, населенных пунктов, 1,0-1,5 км от проезжих дорог и 0,5-1,0 км от многолетних насаждений. В силу природных инстинктов животные предпочитают двигаться при пастьбе в утренние часы на восход, а вечерние часы на закат солнца.</w:t>
      </w:r>
    </w:p>
    <w:bookmarkEnd w:id="88"/>
    <w:bookmarkStart w:name="z114" w:id="89"/>
    <w:p>
      <w:pPr>
        <w:spacing w:after="0"/>
        <w:ind w:left="0"/>
        <w:jc w:val="left"/>
      </w:pPr>
      <w:r>
        <w:rPr>
          <w:rFonts w:ascii="Times New Roman"/>
          <w:b/>
          <w:i w:val="false"/>
          <w:color w:val="000000"/>
        </w:rPr>
        <w:t xml:space="preserve"> 8. Ветеринарные объекты</w:t>
      </w:r>
    </w:p>
    <w:bookmarkEnd w:id="89"/>
    <w:bookmarkStart w:name="z115" w:id="90"/>
    <w:p>
      <w:pPr>
        <w:spacing w:after="0"/>
        <w:ind w:left="0"/>
        <w:jc w:val="both"/>
      </w:pPr>
      <w:r>
        <w:rPr>
          <w:rFonts w:ascii="Times New Roman"/>
          <w:b w:val="false"/>
          <w:i w:val="false"/>
          <w:color w:val="000000"/>
          <w:sz w:val="28"/>
        </w:rPr>
        <w:t xml:space="preserve">
       Устройство летних лагерей намечают в крупных сельскохозяйственных предприятиях при большой удаленности пастбищных участков от ферм на расстояния, превышающие допустимые перегоны животных. </w:t>
      </w:r>
    </w:p>
    <w:bookmarkEnd w:id="90"/>
    <w:bookmarkStart w:name="z116" w:id="91"/>
    <w:p>
      <w:pPr>
        <w:spacing w:after="0"/>
        <w:ind w:left="0"/>
        <w:jc w:val="both"/>
      </w:pPr>
      <w:r>
        <w:rPr>
          <w:rFonts w:ascii="Times New Roman"/>
          <w:b w:val="false"/>
          <w:i w:val="false"/>
          <w:color w:val="000000"/>
          <w:sz w:val="28"/>
        </w:rPr>
        <w:t xml:space="preserve">
       При этом скот ежедневно не перегоняют на фермы, а содержат в летних лагерях весь пастбищный период. Летний лагерь — это сезонный производственный центр. Он служит местом отдыха животных, доения, подкормки и проведения других производственных процессов. В лагерях в зависимости от их назначения и вида животных сооружают навесы, постройки для жилья, хранения продуктов и кормов, для искусственного осеменения животных. </w:t>
      </w:r>
    </w:p>
    <w:bookmarkEnd w:id="91"/>
    <w:bookmarkStart w:name="z117" w:id="92"/>
    <w:p>
      <w:pPr>
        <w:spacing w:after="0"/>
        <w:ind w:left="0"/>
        <w:jc w:val="both"/>
      </w:pPr>
      <w:r>
        <w:rPr>
          <w:rFonts w:ascii="Times New Roman"/>
          <w:b w:val="false"/>
          <w:i w:val="false"/>
          <w:color w:val="000000"/>
          <w:sz w:val="28"/>
        </w:rPr>
        <w:t xml:space="preserve">
       При выборе места под летний лагерь учитывают: </w:t>
      </w:r>
    </w:p>
    <w:bookmarkEnd w:id="92"/>
    <w:bookmarkStart w:name="z118" w:id="93"/>
    <w:p>
      <w:pPr>
        <w:spacing w:after="0"/>
        <w:ind w:left="0"/>
        <w:jc w:val="both"/>
      </w:pPr>
      <w:r>
        <w:rPr>
          <w:rFonts w:ascii="Times New Roman"/>
          <w:b w:val="false"/>
          <w:i w:val="false"/>
          <w:color w:val="000000"/>
          <w:sz w:val="28"/>
        </w:rPr>
        <w:t xml:space="preserve">
       1) необходимость размещения его в центре кормового массива, чтобы перегоны скота на пастбища и обратно и затраты на транспортировку зеленой массы с прилагерного севооборота были минимальными; </w:t>
      </w:r>
    </w:p>
    <w:bookmarkEnd w:id="93"/>
    <w:bookmarkStart w:name="z119" w:id="94"/>
    <w:p>
      <w:pPr>
        <w:spacing w:after="0"/>
        <w:ind w:left="0"/>
        <w:jc w:val="both"/>
      </w:pPr>
      <w:r>
        <w:rPr>
          <w:rFonts w:ascii="Times New Roman"/>
          <w:b w:val="false"/>
          <w:i w:val="false"/>
          <w:color w:val="000000"/>
          <w:sz w:val="28"/>
        </w:rPr>
        <w:t xml:space="preserve">
       2) месторасположение, которое должно быть удобным для организации водопоя скота, по возможности находиться вблизи водоема (озера, пруда), но на расстоянии, обусловленном природоохранными нормами; </w:t>
      </w:r>
    </w:p>
    <w:bookmarkEnd w:id="94"/>
    <w:bookmarkStart w:name="z120" w:id="95"/>
    <w:p>
      <w:pPr>
        <w:spacing w:after="0"/>
        <w:ind w:left="0"/>
        <w:jc w:val="both"/>
      </w:pPr>
      <w:r>
        <w:rPr>
          <w:rFonts w:ascii="Times New Roman"/>
          <w:b w:val="false"/>
          <w:i w:val="false"/>
          <w:color w:val="000000"/>
          <w:sz w:val="28"/>
        </w:rPr>
        <w:t xml:space="preserve">
       3) месторасположение площадки, отводимой под лагерь, которую выбирают на возвышенных и сухих местах, благополучных в санитарно-гигиеническом отношении с небольшим уклоном (до 2°градусов) для стока атмосферных вод, с глубоким залеганием грунтовых вод, пригодными для строительства производственных построек; </w:t>
      </w:r>
    </w:p>
    <w:bookmarkEnd w:id="95"/>
    <w:bookmarkStart w:name="z121" w:id="96"/>
    <w:p>
      <w:pPr>
        <w:spacing w:after="0"/>
        <w:ind w:left="0"/>
        <w:jc w:val="both"/>
      </w:pPr>
      <w:r>
        <w:rPr>
          <w:rFonts w:ascii="Times New Roman"/>
          <w:b w:val="false"/>
          <w:i w:val="false"/>
          <w:color w:val="000000"/>
          <w:sz w:val="28"/>
        </w:rPr>
        <w:t xml:space="preserve">
       4) защищенность месторасположения лагеря от холодных ветров массивами прилегающего леса или кустарника для отдыха животных во время жары или ветров, но в то же время оно должно быть хорошо продуваемым; </w:t>
      </w:r>
    </w:p>
    <w:bookmarkEnd w:id="96"/>
    <w:bookmarkStart w:name="z122" w:id="97"/>
    <w:p>
      <w:pPr>
        <w:spacing w:after="0"/>
        <w:ind w:left="0"/>
        <w:jc w:val="both"/>
      </w:pPr>
      <w:r>
        <w:rPr>
          <w:rFonts w:ascii="Times New Roman"/>
          <w:b w:val="false"/>
          <w:i w:val="false"/>
          <w:color w:val="000000"/>
          <w:sz w:val="28"/>
        </w:rPr>
        <w:t>
       5) хорошую транспортную связь лагеря с хозяйственным центром, особенно если в нем содержат дойных коров, но находиться он должен в стороне от магистральных дорог, источников распространения инфекционных заболеваний.</w:t>
      </w:r>
    </w:p>
    <w:bookmarkEnd w:id="97"/>
    <w:bookmarkStart w:name="z123" w:id="98"/>
    <w:p>
      <w:pPr>
        <w:spacing w:after="0"/>
        <w:ind w:left="0"/>
        <w:jc w:val="both"/>
      </w:pPr>
      <w:r>
        <w:rPr>
          <w:rFonts w:ascii="Times New Roman"/>
          <w:b w:val="false"/>
          <w:i w:val="false"/>
          <w:color w:val="000000"/>
          <w:sz w:val="28"/>
        </w:rPr>
        <w:t>
      Данные о ветеринарно-санитарных объектах на территории Кегенского района представлены в таблице № 9.</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 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7"/>
        <w:gridCol w:w="994"/>
        <w:gridCol w:w="1377"/>
        <w:gridCol w:w="2138"/>
        <w:gridCol w:w="2138"/>
        <w:gridCol w:w="1377"/>
        <w:gridCol w:w="2139"/>
      </w:tblGrid>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округа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Откормочная площадка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искусственного осеменения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Захоронения сибирской язвы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пункты</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Алгабас</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Болексаз</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Жаланаш</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Тасашы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Туюк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Узунбулак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Шырганак</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25" w:id="99"/>
    <w:p>
      <w:pPr>
        <w:spacing w:after="0"/>
        <w:ind w:left="0"/>
        <w:jc w:val="left"/>
      </w:pPr>
      <w:r>
        <w:rPr>
          <w:rFonts w:ascii="Times New Roman"/>
          <w:b/>
          <w:i w:val="false"/>
          <w:color w:val="000000"/>
        </w:rPr>
        <w:t xml:space="preserve"> 9. Заключение</w:t>
      </w:r>
    </w:p>
    <w:bookmarkEnd w:id="99"/>
    <w:bookmarkStart w:name="z126" w:id="100"/>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20 февраля 2017 года "О пастбищах", пастбища расположенные в пределах территории поселков и сельских населенных пунктов, находящиеся в государственной собственности, предоставляются для удовлетворения нужд местного населения по содержанию маточного (дойного) поголовья и других сельскохозяйственных животных. Выпас на этих пастбищах других сельскохозяйственных животных допускается только при соблюдении предельно допустимых норм нагрузки на общую площадь пастбищ. Рациональное использование пастбищ сводится к тому, чтобы создать условия для получения высокой продуктивности пастбищ, сохранить ценный состав травостоя в течение длительного времени, обеспечить пастбищными кормами наибольшее количество животных и получить высокий выход животноводческой продукции. При таком важном значении пастбищного содержания скота вопросы рационального содержания пастбищ в высшей степени актуальны, тем более что продуктивность пастбищных угодий при правильном использовании их сильно возрастает. Так применение одной только загонной системы пастьбы дает возможность содержать скот на одной и той же площади на 20-30% больше, а при проведении всей системы рационального использования пастбищ (правильного стравливания травостоя, текущего ухода, введения пастбище оборота, применение загонной системы пастьбы) продуктивность естественных пастбищных угодий увеличивается в 2-3 раза.</w:t>
      </w:r>
    </w:p>
    <w:bookmarkEnd w:id="100"/>
    <w:bookmarkStart w:name="z127" w:id="101"/>
    <w:p>
      <w:pPr>
        <w:spacing w:after="0"/>
        <w:ind w:left="0"/>
        <w:jc w:val="both"/>
      </w:pPr>
      <w:r>
        <w:rPr>
          <w:rFonts w:ascii="Times New Roman"/>
          <w:b w:val="false"/>
          <w:i w:val="false"/>
          <w:color w:val="000000"/>
          <w:sz w:val="28"/>
        </w:rPr>
        <w:t>
      Пастбища — земельные участки в составе земель сельскохозяйственного назначения, а также земельные участки в составе других категорий земель, предоставляемые и используемые для круглогодичного или сезонного выпаса сельскохозяйственных животных.</w:t>
      </w:r>
    </w:p>
    <w:bookmarkEnd w:id="101"/>
    <w:bookmarkStart w:name="z128" w:id="102"/>
    <w:p>
      <w:pPr>
        <w:spacing w:after="0"/>
        <w:ind w:left="0"/>
        <w:jc w:val="both"/>
      </w:pPr>
      <w:r>
        <w:rPr>
          <w:rFonts w:ascii="Times New Roman"/>
          <w:b w:val="false"/>
          <w:i w:val="false"/>
          <w:color w:val="000000"/>
          <w:sz w:val="28"/>
        </w:rPr>
        <w:t>
      Для рациональго использования кормовых угодий необходимо:</w:t>
      </w:r>
    </w:p>
    <w:bookmarkEnd w:id="102"/>
    <w:bookmarkStart w:name="z129" w:id="103"/>
    <w:p>
      <w:pPr>
        <w:spacing w:after="0"/>
        <w:ind w:left="0"/>
        <w:jc w:val="both"/>
      </w:pPr>
      <w:r>
        <w:rPr>
          <w:rFonts w:ascii="Times New Roman"/>
          <w:b w:val="false"/>
          <w:i w:val="false"/>
          <w:color w:val="000000"/>
          <w:sz w:val="28"/>
        </w:rPr>
        <w:t>
      1) освоение и соблюдение пастбищеоборота, прекращение выпаса скота на сильно сбитых пастбищах до полного восстановления травостоя.</w:t>
      </w:r>
    </w:p>
    <w:bookmarkEnd w:id="103"/>
    <w:bookmarkStart w:name="z130" w:id="104"/>
    <w:p>
      <w:pPr>
        <w:spacing w:after="0"/>
        <w:ind w:left="0"/>
        <w:jc w:val="both"/>
      </w:pPr>
      <w:r>
        <w:rPr>
          <w:rFonts w:ascii="Times New Roman"/>
          <w:b w:val="false"/>
          <w:i w:val="false"/>
          <w:color w:val="000000"/>
          <w:sz w:val="28"/>
        </w:rPr>
        <w:t>
      2) запрещается сжигание старики и соломы на пастбищах и пашне, так как это наносит ущерб флоре и фауне.</w:t>
      </w:r>
    </w:p>
    <w:bookmarkEnd w:id="104"/>
    <w:bookmarkStart w:name="z131" w:id="105"/>
    <w:p>
      <w:pPr>
        <w:spacing w:after="0"/>
        <w:ind w:left="0"/>
        <w:jc w:val="both"/>
      </w:pPr>
      <w:r>
        <w:rPr>
          <w:rFonts w:ascii="Times New Roman"/>
          <w:b w:val="false"/>
          <w:i w:val="false"/>
          <w:color w:val="000000"/>
          <w:sz w:val="28"/>
        </w:rPr>
        <w:t>
      3) запрещается уничтожение кустарников, выполняющих охранную роль, сохраняющих земли от размыва.</w:t>
      </w:r>
    </w:p>
    <w:bookmarkEnd w:id="105"/>
    <w:bookmarkStart w:name="z132" w:id="106"/>
    <w:p>
      <w:pPr>
        <w:spacing w:after="0"/>
        <w:ind w:left="0"/>
        <w:jc w:val="both"/>
      </w:pPr>
      <w:r>
        <w:rPr>
          <w:rFonts w:ascii="Times New Roman"/>
          <w:b w:val="false"/>
          <w:i w:val="false"/>
          <w:color w:val="000000"/>
          <w:sz w:val="28"/>
        </w:rPr>
        <w:t>
      4) осуществлять сенокошение в целях заготовки кормов в случаях,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w:t>
      </w:r>
    </w:p>
    <w:bookmarkEnd w:id="106"/>
    <w:bookmarkStart w:name="z133" w:id="107"/>
    <w:p>
      <w:pPr>
        <w:spacing w:after="0"/>
        <w:ind w:left="0"/>
        <w:jc w:val="both"/>
      </w:pPr>
      <w:r>
        <w:rPr>
          <w:rFonts w:ascii="Times New Roman"/>
          <w:b w:val="false"/>
          <w:i w:val="false"/>
          <w:color w:val="000000"/>
          <w:sz w:val="28"/>
        </w:rPr>
        <w:t xml:space="preserve">
      5) рационально использовать пастбища по их целевому назначению в </w:t>
      </w:r>
    </w:p>
    <w:bookmarkEnd w:id="107"/>
    <w:bookmarkStart w:name="z134" w:id="108"/>
    <w:p>
      <w:pPr>
        <w:spacing w:after="0"/>
        <w:ind w:left="0"/>
        <w:jc w:val="both"/>
      </w:pPr>
      <w:r>
        <w:rPr>
          <w:rFonts w:ascii="Times New Roman"/>
          <w:b w:val="false"/>
          <w:i w:val="false"/>
          <w:color w:val="000000"/>
          <w:sz w:val="28"/>
        </w:rPr>
        <w:t>
      Одобрен проект закона" О внесении изменений и дополнений в некоторые законодательные акты Республики Казахстан по вопросам регулирования земельных отношений", в котором нормы по обеспечению населения пастбищами предусматриваются с определением их необходимости. Вместе с тем, в связи с тем, что на сегодняшний день большая часть пастбищ вокруг населенных пунктов находится в собственности и землепользовании физических лиц, акимом будет предоставлена возможность их изъятия на государственные нужды путем отнесения пастбищных угодий к нуждам населения. Наряду с усилением ответственности землепользователей законопроект предусматривает усиление государственного контроля за использованием земель, включая пастбища.</w:t>
      </w:r>
    </w:p>
    <w:bookmarkEnd w:id="108"/>
    <w:bookmarkStart w:name="z135" w:id="109"/>
    <w:p>
      <w:pPr>
        <w:spacing w:after="0"/>
        <w:ind w:left="0"/>
        <w:jc w:val="both"/>
      </w:pPr>
      <w:r>
        <w:rPr>
          <w:rFonts w:ascii="Times New Roman"/>
          <w:b w:val="false"/>
          <w:i w:val="false"/>
          <w:color w:val="000000"/>
          <w:sz w:val="28"/>
        </w:rPr>
        <w:t>
      Согласно графику, на территории Кегенского района наблюдается охват пастбищ.</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 10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672"/>
        <w:gridCol w:w="1427"/>
        <w:gridCol w:w="1672"/>
        <w:gridCol w:w="1427"/>
        <w:gridCol w:w="812"/>
        <w:gridCol w:w="812"/>
        <w:gridCol w:w="812"/>
        <w:gridCol w:w="1673"/>
        <w:gridCol w:w="1673"/>
      </w:tblGrid>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фактически,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скота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Нагрузка на 1 голову скота</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Нехватка пастбищ,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КРС </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МРС </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КРС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МРС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Алгабас</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Болексаз</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Жаланаш</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20935</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Тасашы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16390</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Туюк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Узунбулак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Шырганак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17759</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198647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202640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117773</w:t>
            </w:r>
          </w:p>
        </w:tc>
      </w:tr>
    </w:tbl>
    <w:bookmarkStart w:name="z137" w:id="110"/>
    <w:p>
      <w:pPr>
        <w:spacing w:after="0"/>
        <w:ind w:left="0"/>
        <w:jc w:val="both"/>
      </w:pPr>
      <w:r>
        <w:rPr>
          <w:rFonts w:ascii="Times New Roman"/>
          <w:b w:val="false"/>
          <w:i w:val="false"/>
          <w:color w:val="000000"/>
          <w:sz w:val="28"/>
        </w:rPr>
        <w:t xml:space="preserve">
      Утверждены приказом министра сельского хозяйства Республики Казахстан от 14 апреля 2015 года </w:t>
      </w:r>
      <w:r>
        <w:rPr>
          <w:rFonts w:ascii="Times New Roman"/>
          <w:b w:val="false"/>
          <w:i w:val="false"/>
          <w:color w:val="000000"/>
          <w:sz w:val="28"/>
        </w:rPr>
        <w:t>№ 3-3/332</w:t>
      </w:r>
      <w:r>
        <w:rPr>
          <w:rFonts w:ascii="Times New Roman"/>
          <w:b w:val="false"/>
          <w:i w:val="false"/>
          <w:color w:val="000000"/>
          <w:sz w:val="28"/>
        </w:rPr>
        <w:t xml:space="preserve"> "Об утверждении предельно допустимых норм нагрузки на общую площадь пастбищ".</w:t>
      </w:r>
    </w:p>
    <w:bookmarkEnd w:id="110"/>
    <w:bookmarkStart w:name="z138" w:id="111"/>
    <w:p>
      <w:pPr>
        <w:spacing w:after="0"/>
        <w:ind w:left="0"/>
        <w:jc w:val="both"/>
      </w:pPr>
      <w:r>
        <w:rPr>
          <w:rFonts w:ascii="Times New Roman"/>
          <w:b w:val="false"/>
          <w:i w:val="false"/>
          <w:color w:val="000000"/>
          <w:sz w:val="28"/>
        </w:rPr>
        <w:t xml:space="preserve">
      В районе по нагрузке пастбищ необходимо 117 773 га. Так как по району 206 140 пастбищных угодий, а в лесном хозяйстве 39 597 га пастбищных угодий. </w:t>
      </w:r>
    </w:p>
    <w:bookmarkEnd w:id="111"/>
    <w:bookmarkStart w:name="z139" w:id="112"/>
    <w:p>
      <w:pPr>
        <w:spacing w:after="0"/>
        <w:ind w:left="0"/>
        <w:jc w:val="both"/>
      </w:pPr>
      <w:r>
        <w:rPr>
          <w:rFonts w:ascii="Times New Roman"/>
          <w:b w:val="false"/>
          <w:i w:val="false"/>
          <w:color w:val="000000"/>
          <w:sz w:val="28"/>
        </w:rPr>
        <w:t>
      В соответствии с пунктом 2 статьи 9 Закона Республики Казахстан от 20 февраля 2017 года" О пастбищах", акимы сельских округов:</w:t>
      </w:r>
    </w:p>
    <w:bookmarkEnd w:id="112"/>
    <w:bookmarkStart w:name="z140" w:id="113"/>
    <w:p>
      <w:pPr>
        <w:spacing w:after="0"/>
        <w:ind w:left="0"/>
        <w:jc w:val="both"/>
      </w:pPr>
      <w:r>
        <w:rPr>
          <w:rFonts w:ascii="Times New Roman"/>
          <w:b w:val="false"/>
          <w:i w:val="false"/>
          <w:color w:val="000000"/>
          <w:sz w:val="28"/>
        </w:rPr>
        <w:t>
      1) разработка совместно с акимами города районного значения, поселка, села, сельского округа и органами местного самоуправления, внесение на утверждение местному представительному органу района, города областного значения Плана по управлению пастбищами и их использованию;</w:t>
      </w:r>
    </w:p>
    <w:bookmarkEnd w:id="113"/>
    <w:bookmarkStart w:name="z141" w:id="114"/>
    <w:p>
      <w:pPr>
        <w:spacing w:after="0"/>
        <w:ind w:left="0"/>
        <w:jc w:val="both"/>
      </w:pPr>
      <w:r>
        <w:rPr>
          <w:rFonts w:ascii="Times New Roman"/>
          <w:b w:val="false"/>
          <w:i w:val="false"/>
          <w:color w:val="000000"/>
          <w:sz w:val="28"/>
        </w:rPr>
        <w:t>
      2) обеспечение реализации Плана по управлению пастбищами и их использованию и представление ежегодного отчета об итогах его реализации местному представительному органу района, города областного значения;</w:t>
      </w:r>
    </w:p>
    <w:bookmarkEnd w:id="114"/>
    <w:bookmarkStart w:name="z142" w:id="115"/>
    <w:p>
      <w:pPr>
        <w:spacing w:after="0"/>
        <w:ind w:left="0"/>
        <w:jc w:val="both"/>
      </w:pPr>
      <w:r>
        <w:rPr>
          <w:rFonts w:ascii="Times New Roman"/>
          <w:b w:val="false"/>
          <w:i w:val="false"/>
          <w:color w:val="000000"/>
          <w:sz w:val="28"/>
        </w:rPr>
        <w:t>
      3) разработка и утверждение схемы пастбищеоборотов на основании геоботанического обследования пастбищ;</w:t>
      </w:r>
    </w:p>
    <w:bookmarkEnd w:id="115"/>
    <w:bookmarkStart w:name="z143" w:id="116"/>
    <w:p>
      <w:pPr>
        <w:spacing w:after="0"/>
        <w:ind w:left="0"/>
        <w:jc w:val="both"/>
      </w:pPr>
      <w:r>
        <w:rPr>
          <w:rFonts w:ascii="Times New Roman"/>
          <w:b w:val="false"/>
          <w:i w:val="false"/>
          <w:color w:val="000000"/>
          <w:sz w:val="28"/>
        </w:rPr>
        <w:t>
      4) осуществление разъяснительной работы среди пастбищепользователей о проведении мероприятий по рациональному использованию пастбищ;</w:t>
      </w:r>
    </w:p>
    <w:bookmarkEnd w:id="116"/>
    <w:bookmarkStart w:name="z144" w:id="117"/>
    <w:p>
      <w:pPr>
        <w:spacing w:after="0"/>
        <w:ind w:left="0"/>
        <w:jc w:val="both"/>
      </w:pPr>
      <w:r>
        <w:rPr>
          <w:rFonts w:ascii="Times New Roman"/>
          <w:b w:val="false"/>
          <w:i w:val="false"/>
          <w:color w:val="000000"/>
          <w:sz w:val="28"/>
        </w:rPr>
        <w:t>
      5) осуществление в интересах местного государственного управления иных полномочий, возлагаемых на него законодательством Республики Казахстан.</w:t>
      </w:r>
    </w:p>
    <w:bookmarkEnd w:id="117"/>
    <w:bookmarkStart w:name="z145" w:id="118"/>
    <w:p>
      <w:pPr>
        <w:spacing w:after="0"/>
        <w:ind w:left="0"/>
        <w:jc w:val="both"/>
      </w:pPr>
      <w:r>
        <w:rPr>
          <w:rFonts w:ascii="Times New Roman"/>
          <w:b w:val="false"/>
          <w:i w:val="false"/>
          <w:color w:val="000000"/>
          <w:sz w:val="28"/>
        </w:rPr>
        <w:t>
      2. Акимы города районного значения, поселка, села, сельского округа:</w:t>
      </w:r>
    </w:p>
    <w:bookmarkEnd w:id="118"/>
    <w:bookmarkStart w:name="z146" w:id="119"/>
    <w:p>
      <w:pPr>
        <w:spacing w:after="0"/>
        <w:ind w:left="0"/>
        <w:jc w:val="both"/>
      </w:pPr>
      <w:r>
        <w:rPr>
          <w:rFonts w:ascii="Times New Roman"/>
          <w:b w:val="false"/>
          <w:i w:val="false"/>
          <w:color w:val="000000"/>
          <w:sz w:val="28"/>
        </w:rPr>
        <w:t>
      1) обеспечивают реализацию Плана по управлению пастбищами и их использованию и представляют ежегодный отчет об итогах его реализации органу местного самоуправления (сходу местного сообщества);</w:t>
      </w:r>
    </w:p>
    <w:bookmarkEnd w:id="119"/>
    <w:bookmarkStart w:name="z147" w:id="120"/>
    <w:p>
      <w:pPr>
        <w:spacing w:after="0"/>
        <w:ind w:left="0"/>
        <w:jc w:val="both"/>
      </w:pPr>
      <w:r>
        <w:rPr>
          <w:rFonts w:ascii="Times New Roman"/>
          <w:b w:val="false"/>
          <w:i w:val="false"/>
          <w:color w:val="000000"/>
          <w:sz w:val="28"/>
        </w:rPr>
        <w:t>
      2) осуществляют разъяснительную работу среди пастбищепользователей о проведении мероприятий по рациональному использованию пастбищ;</w:t>
      </w:r>
    </w:p>
    <w:bookmarkEnd w:id="120"/>
    <w:bookmarkStart w:name="z148" w:id="121"/>
    <w:p>
      <w:pPr>
        <w:spacing w:after="0"/>
        <w:ind w:left="0"/>
        <w:jc w:val="both"/>
      </w:pPr>
      <w:r>
        <w:rPr>
          <w:rFonts w:ascii="Times New Roman"/>
          <w:b w:val="false"/>
          <w:i w:val="false"/>
          <w:color w:val="000000"/>
          <w:sz w:val="28"/>
        </w:rPr>
        <w:t>
      3) обеспечивают совместно с органами местного самоуправления соблюдение предельно допустимых норм нагрузки на общую площадь пастбищ;</w:t>
      </w:r>
    </w:p>
    <w:bookmarkEnd w:id="121"/>
    <w:bookmarkStart w:name="z149" w:id="122"/>
    <w:p>
      <w:pPr>
        <w:spacing w:after="0"/>
        <w:ind w:left="0"/>
        <w:jc w:val="both"/>
      </w:pPr>
      <w:r>
        <w:rPr>
          <w:rFonts w:ascii="Times New Roman"/>
          <w:b w:val="false"/>
          <w:i w:val="false"/>
          <w:color w:val="000000"/>
          <w:sz w:val="28"/>
        </w:rPr>
        <w:t>
      4) размещают на своих интернет-ресурсах План по управлению пастбищами и их использованию;</w:t>
      </w:r>
    </w:p>
    <w:bookmarkEnd w:id="122"/>
    <w:bookmarkStart w:name="z150" w:id="123"/>
    <w:p>
      <w:pPr>
        <w:spacing w:after="0"/>
        <w:ind w:left="0"/>
        <w:jc w:val="both"/>
      </w:pPr>
      <w:r>
        <w:rPr>
          <w:rFonts w:ascii="Times New Roman"/>
          <w:b w:val="false"/>
          <w:i w:val="false"/>
          <w:color w:val="000000"/>
          <w:sz w:val="28"/>
        </w:rPr>
        <w:t>
      5) публикуют в средствах массовой информации, распространяемых на соответствующих территориях, ежегодные отчеты об итогах реализации Плана по управлению пастбищами и их использованию;</w:t>
      </w:r>
    </w:p>
    <w:bookmarkEnd w:id="123"/>
    <w:bookmarkStart w:name="z151" w:id="124"/>
    <w:p>
      <w:pPr>
        <w:spacing w:after="0"/>
        <w:ind w:left="0"/>
        <w:jc w:val="both"/>
      </w:pPr>
      <w:r>
        <w:rPr>
          <w:rFonts w:ascii="Times New Roman"/>
          <w:b w:val="false"/>
          <w:i w:val="false"/>
          <w:color w:val="000000"/>
          <w:sz w:val="28"/>
        </w:rPr>
        <w:t>
      6) информируют местный исполнительный орган области о сбитых и деградированных пастбищах;</w:t>
      </w:r>
    </w:p>
    <w:bookmarkEnd w:id="124"/>
    <w:bookmarkStart w:name="z152" w:id="125"/>
    <w:p>
      <w:pPr>
        <w:spacing w:after="0"/>
        <w:ind w:left="0"/>
        <w:jc w:val="both"/>
      </w:pPr>
      <w:r>
        <w:rPr>
          <w:rFonts w:ascii="Times New Roman"/>
          <w:b w:val="false"/>
          <w:i w:val="false"/>
          <w:color w:val="000000"/>
          <w:sz w:val="28"/>
        </w:rPr>
        <w:t>
      7) решают иные вопросы, отнесенные законодательством Республики Казахстан к их ведению.</w:t>
      </w:r>
    </w:p>
    <w:bookmarkEnd w:id="125"/>
    <w:bookmarkStart w:name="z153" w:id="126"/>
    <w:p>
      <w:pPr>
        <w:spacing w:after="0"/>
        <w:ind w:left="0"/>
        <w:jc w:val="both"/>
      </w:pPr>
      <w:r>
        <w:rPr>
          <w:rFonts w:ascii="Times New Roman"/>
          <w:b w:val="false"/>
          <w:i w:val="false"/>
          <w:color w:val="000000"/>
          <w:sz w:val="28"/>
        </w:rPr>
        <w:t>
      В целях обеспечения потребности в пастбищных угодьях дворовых животных населения Кегенского района провести работы в соответствии с постановлением акима района от 06 мая 2021 года № 132 "о резервировании свободных пастбищных угодий, в том числе земель запаса сроком на 49 (сорок девять) лет".</w:t>
      </w:r>
    </w:p>
    <w:bookmarkEnd w:id="126"/>
    <w:bookmarkStart w:name="z154" w:id="127"/>
    <w:p>
      <w:pPr>
        <w:spacing w:after="0"/>
        <w:ind w:left="0"/>
        <w:jc w:val="both"/>
      </w:pPr>
      <w:r>
        <w:rPr>
          <w:rFonts w:ascii="Times New Roman"/>
          <w:b w:val="false"/>
          <w:i w:val="false"/>
          <w:color w:val="000000"/>
          <w:sz w:val="28"/>
        </w:rPr>
        <w:t xml:space="preserve">
      Государственному учреждению "отдел земельных отношений" Кегенского района в соответствии со </w:t>
      </w:r>
      <w:r>
        <w:rPr>
          <w:rFonts w:ascii="Times New Roman"/>
          <w:b w:val="false"/>
          <w:i w:val="false"/>
          <w:color w:val="000000"/>
          <w:sz w:val="28"/>
        </w:rPr>
        <w:t>статьями 93</w:t>
      </w:r>
      <w:r>
        <w:rPr>
          <w:rFonts w:ascii="Times New Roman"/>
          <w:b w:val="false"/>
          <w:i w:val="false"/>
          <w:color w:val="000000"/>
          <w:sz w:val="28"/>
        </w:rPr>
        <w:t>-</w:t>
      </w:r>
      <w:r>
        <w:rPr>
          <w:rFonts w:ascii="Times New Roman"/>
          <w:b w:val="false"/>
          <w:i w:val="false"/>
          <w:color w:val="000000"/>
          <w:sz w:val="28"/>
        </w:rPr>
        <w:t>94</w:t>
      </w:r>
      <w:r>
        <w:rPr>
          <w:rFonts w:ascii="Times New Roman"/>
          <w:b w:val="false"/>
          <w:i w:val="false"/>
          <w:color w:val="000000"/>
          <w:sz w:val="28"/>
        </w:rPr>
        <w:t xml:space="preserve"> "Земельный кодекс Республики Казахстан" от 20 июня 2003 года № 442, выполнить работы по использованию земельного участка в собственных целях.</w:t>
      </w:r>
    </w:p>
    <w:bookmarkEnd w:id="127"/>
    <w:bookmarkStart w:name="z155" w:id="128"/>
    <w:p>
      <w:pPr>
        <w:spacing w:after="0"/>
        <w:ind w:left="0"/>
        <w:jc w:val="both"/>
      </w:pPr>
      <w:r>
        <w:rPr>
          <w:rFonts w:ascii="Times New Roman"/>
          <w:b w:val="false"/>
          <w:i w:val="false"/>
          <w:color w:val="000000"/>
          <w:sz w:val="28"/>
        </w:rPr>
        <w:t>
      Провести работу по правилам содержания и выпаса сельскохозяйственных животных в Кегенском районе.</w:t>
      </w:r>
    </w:p>
    <w:bookmarkEnd w:id="128"/>
    <w:bookmarkStart w:name="z156" w:id="129"/>
    <w:p>
      <w:pPr>
        <w:spacing w:after="0"/>
        <w:ind w:left="0"/>
        <w:jc w:val="both"/>
      </w:pPr>
      <w:r>
        <w:rPr>
          <w:rFonts w:ascii="Times New Roman"/>
          <w:b w:val="false"/>
          <w:i w:val="false"/>
          <w:color w:val="000000"/>
          <w:sz w:val="28"/>
        </w:rPr>
        <w:t>
      Проведение работ по содержанию сельскохозяйственных животных на расстоянии от специально оборудованных крытых мест и индивидуальных жилых домов, стадионов, предприятий общественного питания, торговли, пищевой промышленности, многоэтажных домов, мест массового отдыха, естественных и искусственных водоемов, артезианских колодцев в соответствии с действующими нормами;</w:t>
      </w:r>
    </w:p>
    <w:bookmarkEnd w:id="129"/>
    <w:bookmarkStart w:name="z157" w:id="130"/>
    <w:p>
      <w:pPr>
        <w:spacing w:after="0"/>
        <w:ind w:left="0"/>
        <w:jc w:val="left"/>
      </w:pPr>
      <w:r>
        <w:rPr>
          <w:rFonts w:ascii="Times New Roman"/>
          <w:b/>
          <w:i w:val="false"/>
          <w:color w:val="000000"/>
        </w:rPr>
        <w:t xml:space="preserve"> Обязанности акимов сельских округов:</w:t>
      </w:r>
    </w:p>
    <w:bookmarkEnd w:id="130"/>
    <w:bookmarkStart w:name="z158" w:id="131"/>
    <w:p>
      <w:pPr>
        <w:spacing w:after="0"/>
        <w:ind w:left="0"/>
        <w:jc w:val="both"/>
      </w:pPr>
      <w:r>
        <w:rPr>
          <w:rFonts w:ascii="Times New Roman"/>
          <w:b w:val="false"/>
          <w:i w:val="false"/>
          <w:color w:val="000000"/>
          <w:sz w:val="28"/>
        </w:rPr>
        <w:t>
      1) определение территории пастбищ в населенных пунктах;</w:t>
      </w:r>
    </w:p>
    <w:bookmarkEnd w:id="131"/>
    <w:bookmarkStart w:name="z159" w:id="132"/>
    <w:p>
      <w:pPr>
        <w:spacing w:after="0"/>
        <w:ind w:left="0"/>
        <w:jc w:val="both"/>
      </w:pPr>
      <w:r>
        <w:rPr>
          <w:rFonts w:ascii="Times New Roman"/>
          <w:b w:val="false"/>
          <w:i w:val="false"/>
          <w:color w:val="000000"/>
          <w:sz w:val="28"/>
        </w:rPr>
        <w:t xml:space="preserve">
      2) Организация работы по выпасу сельскохозяйственных животных в населенных пунктах </w:t>
      </w:r>
    </w:p>
    <w:bookmarkEnd w:id="132"/>
    <w:bookmarkStart w:name="z160" w:id="133"/>
    <w:p>
      <w:pPr>
        <w:spacing w:after="0"/>
        <w:ind w:left="0"/>
        <w:jc w:val="both"/>
      </w:pPr>
      <w:r>
        <w:rPr>
          <w:rFonts w:ascii="Times New Roman"/>
          <w:b w:val="false"/>
          <w:i w:val="false"/>
          <w:color w:val="000000"/>
          <w:sz w:val="28"/>
        </w:rPr>
        <w:t>
      3) определение места временного содержания и стоянки безнадзорных сельскохозяйственных животных;</w:t>
      </w:r>
    </w:p>
    <w:bookmarkEnd w:id="133"/>
    <w:bookmarkStart w:name="z161" w:id="134"/>
    <w:p>
      <w:pPr>
        <w:spacing w:after="0"/>
        <w:ind w:left="0"/>
        <w:jc w:val="left"/>
      </w:pPr>
      <w:r>
        <w:rPr>
          <w:rFonts w:ascii="Times New Roman"/>
          <w:b/>
          <w:i w:val="false"/>
          <w:color w:val="000000"/>
        </w:rPr>
        <w:t xml:space="preserve"> Владельцам сельскохозяйственных животных не разрешается:</w:t>
      </w:r>
    </w:p>
    <w:bookmarkEnd w:id="134"/>
    <w:bookmarkStart w:name="z162" w:id="135"/>
    <w:p>
      <w:pPr>
        <w:spacing w:after="0"/>
        <w:ind w:left="0"/>
        <w:jc w:val="both"/>
      </w:pPr>
      <w:r>
        <w:rPr>
          <w:rFonts w:ascii="Times New Roman"/>
          <w:b w:val="false"/>
          <w:i w:val="false"/>
          <w:color w:val="000000"/>
          <w:sz w:val="28"/>
        </w:rPr>
        <w:t>
      1) Выпас или оставление без присмотра сельскохозяйственных животных в жилой зоне сельских округов, на улицах, дачах и в других общественных местах;</w:t>
      </w:r>
    </w:p>
    <w:bookmarkEnd w:id="135"/>
    <w:bookmarkStart w:name="z163" w:id="136"/>
    <w:p>
      <w:pPr>
        <w:spacing w:after="0"/>
        <w:ind w:left="0"/>
        <w:jc w:val="both"/>
      </w:pPr>
      <w:r>
        <w:rPr>
          <w:rFonts w:ascii="Times New Roman"/>
          <w:b w:val="false"/>
          <w:i w:val="false"/>
          <w:color w:val="000000"/>
          <w:sz w:val="28"/>
        </w:rPr>
        <w:t>
      2) Не допускается выпас сельскохозяйственных животных в местах их отдыха вблизи других природных и искусственных водоемов</w:t>
      </w:r>
    </w:p>
    <w:bookmarkEnd w:id="136"/>
    <w:bookmarkStart w:name="z164" w:id="137"/>
    <w:p>
      <w:pPr>
        <w:spacing w:after="0"/>
        <w:ind w:left="0"/>
        <w:jc w:val="both"/>
      </w:pPr>
      <w:r>
        <w:rPr>
          <w:rFonts w:ascii="Times New Roman"/>
          <w:b w:val="false"/>
          <w:i w:val="false"/>
          <w:color w:val="000000"/>
          <w:sz w:val="28"/>
        </w:rPr>
        <w:t>
      3) Загрязнение окружающей среды;</w:t>
      </w:r>
    </w:p>
    <w:bookmarkEnd w:id="137"/>
    <w:bookmarkStart w:name="z165" w:id="138"/>
    <w:p>
      <w:pPr>
        <w:spacing w:after="0"/>
        <w:ind w:left="0"/>
        <w:jc w:val="both"/>
      </w:pPr>
      <w:r>
        <w:rPr>
          <w:rFonts w:ascii="Times New Roman"/>
          <w:b w:val="false"/>
          <w:i w:val="false"/>
          <w:color w:val="000000"/>
          <w:sz w:val="28"/>
        </w:rPr>
        <w:t>
      4) Выбрасывать или закапывать в землю трупы сельскохозяйственных животных;</w:t>
      </w:r>
    </w:p>
    <w:bookmarkEnd w:id="138"/>
    <w:bookmarkStart w:name="z166" w:id="139"/>
    <w:p>
      <w:pPr>
        <w:spacing w:after="0"/>
        <w:ind w:left="0"/>
        <w:jc w:val="both"/>
      </w:pPr>
      <w:r>
        <w:rPr>
          <w:rFonts w:ascii="Times New Roman"/>
          <w:b w:val="false"/>
          <w:i w:val="false"/>
          <w:color w:val="000000"/>
          <w:sz w:val="28"/>
        </w:rPr>
        <w:t>
      5) Нарушение безопасности дорожного движения</w:t>
      </w:r>
    </w:p>
    <w:bookmarkEnd w:id="139"/>
    <w:bookmarkStart w:name="z167" w:id="140"/>
    <w:p>
      <w:pPr>
        <w:spacing w:after="0"/>
        <w:ind w:left="0"/>
        <w:jc w:val="both"/>
      </w:pPr>
      <w:r>
        <w:rPr>
          <w:rFonts w:ascii="Times New Roman"/>
          <w:b w:val="false"/>
          <w:i w:val="false"/>
          <w:color w:val="000000"/>
          <w:sz w:val="28"/>
        </w:rPr>
        <w:t>
      6) Выпас сельскохозяйственных животных на пашнях, сенокосных угодьях:</w:t>
      </w:r>
    </w:p>
    <w:bookmarkEnd w:id="140"/>
    <w:bookmarkStart w:name="z168" w:id="141"/>
    <w:p>
      <w:pPr>
        <w:spacing w:after="0"/>
        <w:ind w:left="0"/>
        <w:jc w:val="left"/>
      </w:pPr>
      <w:r>
        <w:rPr>
          <w:rFonts w:ascii="Times New Roman"/>
          <w:b/>
          <w:i w:val="false"/>
          <w:color w:val="000000"/>
        </w:rPr>
        <w:t xml:space="preserve"> Права владельцев сельскохозяйственных животных</w:t>
      </w:r>
    </w:p>
    <w:bookmarkEnd w:id="141"/>
    <w:bookmarkStart w:name="z169" w:id="142"/>
    <w:p>
      <w:pPr>
        <w:spacing w:after="0"/>
        <w:ind w:left="0"/>
        <w:jc w:val="both"/>
      </w:pPr>
      <w:r>
        <w:rPr>
          <w:rFonts w:ascii="Times New Roman"/>
          <w:b w:val="false"/>
          <w:i w:val="false"/>
          <w:color w:val="000000"/>
          <w:sz w:val="28"/>
        </w:rPr>
        <w:t>
      1) В случае причинения материального ущерба потерпевший вправе обратиться в суд за его возмещением.</w:t>
      </w:r>
    </w:p>
    <w:bookmarkEnd w:id="142"/>
    <w:bookmarkStart w:name="z170" w:id="143"/>
    <w:p>
      <w:pPr>
        <w:spacing w:after="0"/>
        <w:ind w:left="0"/>
        <w:jc w:val="both"/>
      </w:pPr>
      <w:r>
        <w:rPr>
          <w:rFonts w:ascii="Times New Roman"/>
          <w:b w:val="false"/>
          <w:i w:val="false"/>
          <w:color w:val="000000"/>
          <w:sz w:val="28"/>
        </w:rPr>
        <w:t>
      2) Любое сельскохозяйственное животное является собственностью владельцев и охраняется законом, поскольку является формой собственности.</w:t>
      </w:r>
    </w:p>
    <w:bookmarkEnd w:id="143"/>
    <w:bookmarkStart w:name="z171" w:id="144"/>
    <w:p>
      <w:pPr>
        <w:spacing w:after="0"/>
        <w:ind w:left="0"/>
        <w:jc w:val="left"/>
      </w:pPr>
      <w:r>
        <w:rPr>
          <w:rFonts w:ascii="Times New Roman"/>
          <w:b/>
          <w:i w:val="false"/>
          <w:color w:val="000000"/>
        </w:rPr>
        <w:t xml:space="preserve"> Обязанности владельцев сельскохозяйственных животных</w:t>
      </w:r>
    </w:p>
    <w:bookmarkEnd w:id="144"/>
    <w:bookmarkStart w:name="z172" w:id="145"/>
    <w:p>
      <w:pPr>
        <w:spacing w:after="0"/>
        <w:ind w:left="0"/>
        <w:jc w:val="both"/>
      </w:pPr>
      <w:r>
        <w:rPr>
          <w:rFonts w:ascii="Times New Roman"/>
          <w:b w:val="false"/>
          <w:i w:val="false"/>
          <w:color w:val="000000"/>
          <w:sz w:val="28"/>
        </w:rPr>
        <w:t>
      1) бережное отношение к сельскохозяйственным животным, содержание в соответствии с биологическими особенностями, своевременное оказание ветеринарной помощи в случае заболевания;</w:t>
      </w:r>
    </w:p>
    <w:bookmarkEnd w:id="145"/>
    <w:bookmarkStart w:name="z173" w:id="146"/>
    <w:p>
      <w:pPr>
        <w:spacing w:after="0"/>
        <w:ind w:left="0"/>
        <w:jc w:val="both"/>
      </w:pPr>
      <w:r>
        <w:rPr>
          <w:rFonts w:ascii="Times New Roman"/>
          <w:b w:val="false"/>
          <w:i w:val="false"/>
          <w:color w:val="000000"/>
          <w:sz w:val="28"/>
        </w:rPr>
        <w:t>
      2) по требованию уполномоченного органа в области ветеринарии создать условия для своевременного вывоза или вызова ветеринарных специалистов для диагностики, исследования, лечения, осмотра сельскохозяйственных животных;</w:t>
      </w:r>
    </w:p>
    <w:bookmarkEnd w:id="146"/>
    <w:bookmarkStart w:name="z174" w:id="147"/>
    <w:p>
      <w:pPr>
        <w:spacing w:after="0"/>
        <w:ind w:left="0"/>
        <w:jc w:val="both"/>
      </w:pPr>
      <w:r>
        <w:rPr>
          <w:rFonts w:ascii="Times New Roman"/>
          <w:b w:val="false"/>
          <w:i w:val="false"/>
          <w:color w:val="000000"/>
          <w:sz w:val="28"/>
        </w:rPr>
        <w:t>
      3) обеспечение получения паспортов и идентификации всех животных;</w:t>
      </w:r>
    </w:p>
    <w:bookmarkEnd w:id="147"/>
    <w:bookmarkStart w:name="z175" w:id="148"/>
    <w:p>
      <w:pPr>
        <w:spacing w:after="0"/>
        <w:ind w:left="0"/>
        <w:jc w:val="both"/>
      </w:pPr>
      <w:r>
        <w:rPr>
          <w:rFonts w:ascii="Times New Roman"/>
          <w:b w:val="false"/>
          <w:i w:val="false"/>
          <w:color w:val="000000"/>
          <w:sz w:val="28"/>
        </w:rPr>
        <w:t>
      4) содержание мест их проживания и выпаса в надлежащем санитарном состоянии, регулярная дезинфекция. Содержание в чистоте от остатков кормов и мусора;</w:t>
      </w:r>
    </w:p>
    <w:bookmarkEnd w:id="148"/>
    <w:bookmarkStart w:name="z176" w:id="149"/>
    <w:p>
      <w:pPr>
        <w:spacing w:after="0"/>
        <w:ind w:left="0"/>
        <w:jc w:val="both"/>
      </w:pPr>
      <w:r>
        <w:rPr>
          <w:rFonts w:ascii="Times New Roman"/>
          <w:b w:val="false"/>
          <w:i w:val="false"/>
          <w:color w:val="000000"/>
          <w:sz w:val="28"/>
        </w:rPr>
        <w:t>
      5) не оставлять без присмотра сельскохозяйственных животных, причинять вред зеленым насаждениям;</w:t>
      </w:r>
    </w:p>
    <w:bookmarkEnd w:id="149"/>
    <w:bookmarkStart w:name="z177" w:id="150"/>
    <w:p>
      <w:pPr>
        <w:spacing w:after="0"/>
        <w:ind w:left="0"/>
        <w:jc w:val="both"/>
      </w:pPr>
      <w:r>
        <w:rPr>
          <w:rFonts w:ascii="Times New Roman"/>
          <w:b w:val="false"/>
          <w:i w:val="false"/>
          <w:color w:val="000000"/>
          <w:sz w:val="28"/>
        </w:rPr>
        <w:t>
      6) принятие необходимых мер для обеспечения безопасности людей и сельскохозяйственных животных;</w:t>
      </w:r>
    </w:p>
    <w:bookmarkEnd w:id="150"/>
    <w:bookmarkStart w:name="z178" w:id="151"/>
    <w:p>
      <w:pPr>
        <w:spacing w:after="0"/>
        <w:ind w:left="0"/>
        <w:jc w:val="both"/>
      </w:pPr>
      <w:r>
        <w:rPr>
          <w:rFonts w:ascii="Times New Roman"/>
          <w:b w:val="false"/>
          <w:i w:val="false"/>
          <w:color w:val="000000"/>
          <w:sz w:val="28"/>
        </w:rPr>
        <w:t>
      7) при приобретении, утрате или гибели сельскохозяйственных животных своевременно информировать об этом уполномоченный орган в области ветеринарии;</w:t>
      </w:r>
    </w:p>
    <w:bookmarkEnd w:id="151"/>
    <w:bookmarkStart w:name="z179" w:id="152"/>
    <w:p>
      <w:pPr>
        <w:spacing w:after="0"/>
        <w:ind w:left="0"/>
        <w:jc w:val="both"/>
      </w:pPr>
      <w:r>
        <w:rPr>
          <w:rFonts w:ascii="Times New Roman"/>
          <w:b w:val="false"/>
          <w:i w:val="false"/>
          <w:color w:val="000000"/>
          <w:sz w:val="28"/>
        </w:rPr>
        <w:t>
      8) в случае повреждения сельскохозяйственных животных человеком или другим животным сообщить в ближайшие медицинские учреждения, ветеринарным специалистам;</w:t>
      </w:r>
    </w:p>
    <w:bookmarkEnd w:id="152"/>
    <w:bookmarkStart w:name="z180" w:id="153"/>
    <w:p>
      <w:pPr>
        <w:spacing w:after="0"/>
        <w:ind w:left="0"/>
        <w:jc w:val="both"/>
      </w:pPr>
      <w:r>
        <w:rPr>
          <w:rFonts w:ascii="Times New Roman"/>
          <w:b w:val="false"/>
          <w:i w:val="false"/>
          <w:color w:val="000000"/>
          <w:sz w:val="28"/>
        </w:rPr>
        <w:t>
      9) своевременно информировать акиматы сельских округов и ветеринарного специалиста для вывоза и уничтожения трупов животных.</w:t>
      </w:r>
    </w:p>
    <w:bookmarkEnd w:id="153"/>
    <w:bookmarkStart w:name="z181" w:id="154"/>
    <w:p>
      <w:pPr>
        <w:spacing w:after="0"/>
        <w:ind w:left="0"/>
        <w:jc w:val="left"/>
      </w:pPr>
      <w:r>
        <w:rPr>
          <w:rFonts w:ascii="Times New Roman"/>
          <w:b/>
          <w:i w:val="false"/>
          <w:color w:val="000000"/>
        </w:rPr>
        <w:t xml:space="preserve"> Обязательные условия содержания сельскохозяйственных животных:</w:t>
      </w:r>
    </w:p>
    <w:bookmarkEnd w:id="154"/>
    <w:bookmarkStart w:name="z182" w:id="155"/>
    <w:p>
      <w:pPr>
        <w:spacing w:after="0"/>
        <w:ind w:left="0"/>
        <w:jc w:val="both"/>
      </w:pPr>
      <w:r>
        <w:rPr>
          <w:rFonts w:ascii="Times New Roman"/>
          <w:b w:val="false"/>
          <w:i w:val="false"/>
          <w:color w:val="000000"/>
          <w:sz w:val="28"/>
        </w:rPr>
        <w:t>
      1) по требованию уполномоченного органа в области ветеринарии ежегодно проводить вакцинацию против особо опасных инфекционных заболеваний и проводить плановые профилактические мероприятия против паразитарных заболеваний.</w:t>
      </w:r>
    </w:p>
    <w:bookmarkEnd w:id="155"/>
    <w:bookmarkStart w:name="z183" w:id="156"/>
    <w:p>
      <w:pPr>
        <w:spacing w:after="0"/>
        <w:ind w:left="0"/>
        <w:jc w:val="both"/>
      </w:pPr>
      <w:r>
        <w:rPr>
          <w:rFonts w:ascii="Times New Roman"/>
          <w:b w:val="false"/>
          <w:i w:val="false"/>
          <w:color w:val="000000"/>
          <w:sz w:val="28"/>
        </w:rPr>
        <w:t>
      2) проведение своевременной идентификации, оформление ветеринарного паспорта;</w:t>
      </w:r>
    </w:p>
    <w:bookmarkEnd w:id="156"/>
    <w:bookmarkStart w:name="z184" w:id="157"/>
    <w:p>
      <w:pPr>
        <w:spacing w:after="0"/>
        <w:ind w:left="0"/>
        <w:jc w:val="both"/>
      </w:pPr>
      <w:r>
        <w:rPr>
          <w:rFonts w:ascii="Times New Roman"/>
          <w:b w:val="false"/>
          <w:i w:val="false"/>
          <w:color w:val="000000"/>
          <w:sz w:val="28"/>
        </w:rPr>
        <w:t>
      3) в двухмесячный срок новорожденные и приобретенные сельскохозяйственные животные подлежат рассмотрению и регистрации в уполномоченном органе в области ветеринарии;</w:t>
      </w:r>
    </w:p>
    <w:bookmarkEnd w:id="157"/>
    <w:bookmarkStart w:name="z185" w:id="158"/>
    <w:p>
      <w:pPr>
        <w:spacing w:after="0"/>
        <w:ind w:left="0"/>
        <w:jc w:val="both"/>
      </w:pPr>
      <w:r>
        <w:rPr>
          <w:rFonts w:ascii="Times New Roman"/>
          <w:b w:val="false"/>
          <w:i w:val="false"/>
          <w:color w:val="000000"/>
          <w:sz w:val="28"/>
        </w:rPr>
        <w:t>
      4) соблюдение санитарно-гигиенических, ветеринарно-санитарных правил и норм;</w:t>
      </w:r>
    </w:p>
    <w:bookmarkEnd w:id="158"/>
    <w:bookmarkStart w:name="z186" w:id="159"/>
    <w:p>
      <w:pPr>
        <w:spacing w:after="0"/>
        <w:ind w:left="0"/>
        <w:jc w:val="both"/>
      </w:pPr>
      <w:r>
        <w:rPr>
          <w:rFonts w:ascii="Times New Roman"/>
          <w:b w:val="false"/>
          <w:i w:val="false"/>
          <w:color w:val="000000"/>
          <w:sz w:val="28"/>
        </w:rPr>
        <w:t>
      Держатель безнадзорных сельскохозяйственных животных и других домашних или прирученных животных обязан возвратить их собственнику, а если его место жительства неизвестны, в течение 3 дней с момента задержания сообщить об отловленных животных в орган внутренних дел или аппарат акима, который примет меры к розыску владельцев. В период поиска хозяина животные содержатся во временных местах, определенных распоряжением акима. Организация перевозки безнадзорных животных в места временного содержания возлагается на аппарат акима сельского округа Кегенского района, ветеринарных специалистов и держателя.</w:t>
      </w:r>
    </w:p>
    <w:bookmarkEnd w:id="159"/>
    <w:bookmarkStart w:name="z187" w:id="160"/>
    <w:p>
      <w:pPr>
        <w:spacing w:after="0"/>
        <w:ind w:left="0"/>
        <w:jc w:val="both"/>
      </w:pPr>
      <w:r>
        <w:rPr>
          <w:rFonts w:ascii="Times New Roman"/>
          <w:b w:val="false"/>
          <w:i w:val="false"/>
          <w:color w:val="000000"/>
          <w:sz w:val="28"/>
        </w:rPr>
        <w:t>
      Владелец безнадзорных сельскохозяйственных животных обязан давать животным сено, воду.</w:t>
      </w:r>
    </w:p>
    <w:bookmarkEnd w:id="160"/>
    <w:bookmarkStart w:name="z188" w:id="161"/>
    <w:p>
      <w:pPr>
        <w:spacing w:after="0"/>
        <w:ind w:left="0"/>
        <w:jc w:val="both"/>
      </w:pPr>
      <w:r>
        <w:rPr>
          <w:rFonts w:ascii="Times New Roman"/>
          <w:b w:val="false"/>
          <w:i w:val="false"/>
          <w:color w:val="000000"/>
          <w:sz w:val="28"/>
        </w:rPr>
        <w:t xml:space="preserve">
      Содержание безнадзорных сельскохозяйственных животных в временно установленных местах и их возврат владельцам рассматриваются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 "безнадзорные животные", владельцам безнадзорных сельскохозяйственных животных в соответствии со </w:t>
      </w:r>
      <w:r>
        <w:rPr>
          <w:rFonts w:ascii="Times New Roman"/>
          <w:b w:val="false"/>
          <w:i w:val="false"/>
          <w:color w:val="000000"/>
          <w:sz w:val="28"/>
        </w:rPr>
        <w:t>статьей 408</w:t>
      </w:r>
      <w:r>
        <w:rPr>
          <w:rFonts w:ascii="Times New Roman"/>
          <w:b w:val="false"/>
          <w:i w:val="false"/>
          <w:color w:val="000000"/>
          <w:sz w:val="28"/>
        </w:rPr>
        <w:t xml:space="preserve"> Закона Республики Казахстан от 5 июля 2014 года № 235-V "Об административных правонарушениях" и в соответствии с другим законодательством Республики Казахстан.</w:t>
      </w:r>
    </w:p>
    <w:bookmarkEnd w:id="161"/>
    <w:bookmarkStart w:name="z189" w:id="162"/>
    <w:p>
      <w:pPr>
        <w:spacing w:after="0"/>
        <w:ind w:left="0"/>
        <w:jc w:val="both"/>
      </w:pPr>
      <w:r>
        <w:rPr>
          <w:rFonts w:ascii="Times New Roman"/>
          <w:b w:val="false"/>
          <w:i w:val="false"/>
          <w:color w:val="000000"/>
          <w:sz w:val="28"/>
        </w:rPr>
        <w:t>
      Контроль за выполнением плана по управлению и использованию пастбищ и правил содержания и выпаса сельскохозяйственных животных</w:t>
      </w:r>
    </w:p>
    <w:bookmarkEnd w:id="162"/>
    <w:bookmarkStart w:name="z190" w:id="163"/>
    <w:p>
      <w:pPr>
        <w:spacing w:after="0"/>
        <w:ind w:left="0"/>
        <w:jc w:val="both"/>
      </w:pPr>
      <w:r>
        <w:rPr>
          <w:rFonts w:ascii="Times New Roman"/>
          <w:b w:val="false"/>
          <w:i w:val="false"/>
          <w:color w:val="000000"/>
          <w:sz w:val="28"/>
        </w:rPr>
        <w:t>
      Государственное учреждение "Отдел сельского хозяйства" Кегенского района, Государственное учреждение" Кегенская районная территориальная инспекция Государственной инспекции в агропромышленном комплексе Министерства сельского хозяйства Республики Казахстан, акимы сельских округов, государственное учреждение "Отдел земельных отношений" Кегенского района, государственное коммунальное предприятие на праве хозяйственного ведения "ветеринарная станция Кегенского района".</w:t>
      </w:r>
    </w:p>
    <w:bookmarkEnd w:id="16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государственного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учреждения "Отдел сельского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хозяйства " Кегенского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Садықов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государственного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учреждения "Отдел земельных</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отношений" Кегенского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Сейтқазыұлы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Директор государственного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коммунального предприятия 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праве хозяйственного ведения"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ветеринарная станция Кегенского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района с ветеринарными пунктами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"государственного учреждения"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Управление ветеринарии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 Төкенов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