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14b" w14:textId="a191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Бухар-Жырауского районного маслихата от 5 января 2021 года № 4 "О бюджетах сел, поселков и сельских округов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июля 2021 года № 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Бухар-Жырауского районного маслихата от 5 января 2021 года № 4 "О бюджетах сел, поселков и сельских округов района на 2021-2023 годы" (зарегистрировано в Реестре государственной регистрации нормативных правовых актов за № 6146)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213 130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195 130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220 541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7 411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108 723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102 223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111 754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3 031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185 015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88 946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96 069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188 097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118 971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19 717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99 254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131 655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12 684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88 413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15 750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72 663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92 475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55 646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2 124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53 522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56 871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61 350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58 710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64 351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58 223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1 918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56 305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59 499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83 751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79 751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86 128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163 969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18 296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145 673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174 471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10 502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39 774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39 254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40 162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25 897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37 977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37 477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38 208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43 370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42 686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43 476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Бухар-Жырауского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54 495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53 995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54 910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41 589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1 782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39 807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42 730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56 126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836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55 290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56 522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45 738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880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44 858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45 935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66 699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1 540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65 159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67 101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48 306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913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47 393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48 903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52 186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1 610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50 576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52 441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61 413тысяч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3 931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57 482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62 880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1467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63 036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2 147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60 889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63 510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35 806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35 590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35 848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24 317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40 340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2 700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37 640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40 931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60 046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1 209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58 837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60 482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40 156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39 489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40 657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55 161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2 210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52 951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55 860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36 021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35 281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36 477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тысяч тенге.";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8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9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1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7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2021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3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2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