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867c" w14:textId="4128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решение Тупкараганского районного маслихата от 20 июля 2018 года № 22/188 "Об утверждении Регламента собрания местного сообщества сел и сельского округа Тупкараганского района"</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15 ноября 2021 года № 8/52</w:t>
      </w:r>
    </w:p>
    <w:p>
      <w:pPr>
        <w:spacing w:after="0"/>
        <w:ind w:left="0"/>
        <w:jc w:val="both"/>
      </w:pPr>
      <w:bookmarkStart w:name="z1" w:id="0"/>
      <w:r>
        <w:rPr>
          <w:rFonts w:ascii="Times New Roman"/>
          <w:b w:val="false"/>
          <w:i w:val="false"/>
          <w:color w:val="000000"/>
          <w:sz w:val="28"/>
        </w:rPr>
        <w:t xml:space="preserve">
      Тупкараганский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Внести в решение Тупкараганского районного маслихата "Об утверждении Регламента собрания местного сообщества сел и сельского округа Тупкараганского района" от 20 июля 2018 года </w:t>
      </w:r>
      <w:r>
        <w:rPr>
          <w:rFonts w:ascii="Times New Roman"/>
          <w:b w:val="false"/>
          <w:i w:val="false"/>
          <w:color w:val="000000"/>
          <w:sz w:val="28"/>
        </w:rPr>
        <w:t>№ 22/188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3699)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Тупкараганского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Тупкараганского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июля 2018 года № 22/188</w:t>
            </w:r>
          </w:p>
        </w:tc>
      </w:tr>
    </w:tbl>
    <w:bookmarkStart w:name="z13" w:id="3"/>
    <w:p>
      <w:pPr>
        <w:spacing w:after="0"/>
        <w:ind w:left="0"/>
        <w:jc w:val="left"/>
      </w:pPr>
      <w:r>
        <w:rPr>
          <w:rFonts w:ascii="Times New Roman"/>
          <w:b/>
          <w:i w:val="false"/>
          <w:color w:val="000000"/>
        </w:rPr>
        <w:t xml:space="preserve"> Регламент собрания местного сообщества сел и сельского округа Тупкараганского района</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сел и сельского округа Тупкараганского района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6"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Тупкараганского района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0"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Тупкараганским районным маслихатом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1"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2"/>
    <w:bookmarkStart w:name="z2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4"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и сельского округа:</w:t>
      </w:r>
    </w:p>
    <w:bookmarkEnd w:id="14"/>
    <w:bookmarkStart w:name="z25"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6"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7"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8"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9"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0"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1"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2"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3"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4" w:id="24"/>
    <w:p>
      <w:pPr>
        <w:spacing w:after="0"/>
        <w:ind w:left="0"/>
        <w:jc w:val="both"/>
      </w:pPr>
      <w:r>
        <w:rPr>
          <w:rFonts w:ascii="Times New Roman"/>
          <w:b w:val="false"/>
          <w:i w:val="false"/>
          <w:color w:val="000000"/>
          <w:sz w:val="28"/>
        </w:rPr>
        <w:t>
      согласование проекта бюджета сел, сельского округа и отчета об исполнении бюджета;</w:t>
      </w:r>
    </w:p>
    <w:bookmarkEnd w:id="24"/>
    <w:bookmarkStart w:name="z35" w:id="25"/>
    <w:p>
      <w:pPr>
        <w:spacing w:after="0"/>
        <w:ind w:left="0"/>
        <w:jc w:val="both"/>
      </w:pPr>
      <w:r>
        <w:rPr>
          <w:rFonts w:ascii="Times New Roman"/>
          <w:b w:val="false"/>
          <w:i w:val="false"/>
          <w:color w:val="000000"/>
          <w:sz w:val="28"/>
        </w:rPr>
        <w:t>
      согласование корректировки бюджета сел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6" w:id="26"/>
    <w:p>
      <w:pPr>
        <w:spacing w:after="0"/>
        <w:ind w:left="0"/>
        <w:jc w:val="both"/>
      </w:pPr>
      <w:r>
        <w:rPr>
          <w:rFonts w:ascii="Times New Roman"/>
          <w:b w:val="false"/>
          <w:i w:val="false"/>
          <w:color w:val="000000"/>
          <w:sz w:val="28"/>
        </w:rPr>
        <w:t>
      согласование решений аппарата сел, сельского округа по управлению коммунальной собственностью сел и сельского округа (коммунальной собственностью местного самоуправления);</w:t>
      </w:r>
    </w:p>
    <w:bookmarkEnd w:id="26"/>
    <w:bookmarkStart w:name="z37"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и сельского округа;</w:t>
      </w:r>
    </w:p>
    <w:bookmarkEnd w:id="27"/>
    <w:bookmarkStart w:name="z38"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и сельского округа;</w:t>
      </w:r>
    </w:p>
    <w:bookmarkEnd w:id="28"/>
    <w:bookmarkStart w:name="z39" w:id="29"/>
    <w:p>
      <w:pPr>
        <w:spacing w:after="0"/>
        <w:ind w:left="0"/>
        <w:jc w:val="both"/>
      </w:pPr>
      <w:r>
        <w:rPr>
          <w:rFonts w:ascii="Times New Roman"/>
          <w:b w:val="false"/>
          <w:i w:val="false"/>
          <w:color w:val="000000"/>
          <w:sz w:val="28"/>
        </w:rPr>
        <w:t>
      согласование отчуждения коммунального имущества сел и сельского округа;</w:t>
      </w:r>
    </w:p>
    <w:bookmarkEnd w:id="29"/>
    <w:bookmarkStart w:name="z40"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согласование представленных акимом Тупкараганского района кандидатур на должность акима сельского округа для дальнейшего внесения в Тупкараганскую районную избирательную комиссию для регистрации в качестве кандидата в акимы села и сельского округа;</w:t>
      </w:r>
    </w:p>
    <w:bookmarkEnd w:id="31"/>
    <w:bookmarkStart w:name="z42" w:id="32"/>
    <w:p>
      <w:pPr>
        <w:spacing w:after="0"/>
        <w:ind w:left="0"/>
        <w:jc w:val="both"/>
      </w:pPr>
      <w:r>
        <w:rPr>
          <w:rFonts w:ascii="Times New Roman"/>
          <w:b w:val="false"/>
          <w:i w:val="false"/>
          <w:color w:val="000000"/>
          <w:sz w:val="28"/>
        </w:rPr>
        <w:t>
      инициирование вопроса об освобождении от должности акима сел и сельского округа;</w:t>
      </w:r>
    </w:p>
    <w:bookmarkEnd w:id="32"/>
    <w:bookmarkStart w:name="z43"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территорий Тупкараганского района;</w:t>
      </w:r>
    </w:p>
    <w:bookmarkEnd w:id="33"/>
    <w:bookmarkStart w:name="z44"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5" w:id="35"/>
    <w:p>
      <w:pPr>
        <w:spacing w:after="0"/>
        <w:ind w:left="0"/>
        <w:jc w:val="both"/>
      </w:pPr>
      <w:r>
        <w:rPr>
          <w:rFonts w:ascii="Times New Roman"/>
          <w:b w:val="false"/>
          <w:i w:val="false"/>
          <w:color w:val="000000"/>
          <w:sz w:val="28"/>
        </w:rPr>
        <w:t>
      5. Собрание созывается и проводится акимами сел 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6"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7"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8"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9"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0"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1"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2"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3"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4"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4"/>
    <w:bookmarkStart w:name="z55"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6"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7"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8"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9" w:id="49"/>
    <w:p>
      <w:pPr>
        <w:spacing w:after="0"/>
        <w:ind w:left="0"/>
        <w:jc w:val="both"/>
      </w:pPr>
      <w:r>
        <w:rPr>
          <w:rFonts w:ascii="Times New Roman"/>
          <w:b w:val="false"/>
          <w:i w:val="false"/>
          <w:color w:val="000000"/>
          <w:sz w:val="28"/>
        </w:rPr>
        <w:t>
      10. На созыв собрания приглашаются представители аппарата районного акимата,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49"/>
    <w:bookmarkStart w:name="z60"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1"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2"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3"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4"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5"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6"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7"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8"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9" w:id="59"/>
    <w:p>
      <w:pPr>
        <w:spacing w:after="0"/>
        <w:ind w:left="0"/>
        <w:jc w:val="both"/>
      </w:pPr>
      <w:r>
        <w:rPr>
          <w:rFonts w:ascii="Times New Roman"/>
          <w:b w:val="false"/>
          <w:i w:val="false"/>
          <w:color w:val="000000"/>
          <w:sz w:val="28"/>
        </w:rPr>
        <w:t>
      1) дата и место проведения собрания;</w:t>
      </w:r>
    </w:p>
    <w:bookmarkEnd w:id="59"/>
    <w:bookmarkStart w:name="z70"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1"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2"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3"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4"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5"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Тупкараганский районный маслихат.</w:t>
      </w:r>
    </w:p>
    <w:bookmarkEnd w:id="65"/>
    <w:bookmarkStart w:name="z76"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7"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9"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акиму района и секретарю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0"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1"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2"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3"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4"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Тупкараганского района или вышестоящим руководителям должностных лиц ответственных за исполнение решений собрания.</w:t>
      </w:r>
    </w:p>
    <w:bookmarkEnd w:id="75"/>
    <w:bookmarkStart w:name="z86"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Тупкараганского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