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a341" w14:textId="883a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Кызылжарского района Северо-Казахстанской области</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13 мая 2021 года № 6/26.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Кызылжарского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Настоящее решение вступает в силу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Кызылжарского районного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Кызылжарского районного маслихата</w:t>
            </w:r>
          </w:p>
          <w:p>
            <w:pPr>
              <w:spacing w:after="20"/>
              <w:ind w:left="20"/>
              <w:jc w:val="both"/>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Кызылжарского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мая 2021 года № 6/26</w:t>
            </w:r>
          </w:p>
        </w:tc>
      </w:tr>
    </w:tbl>
    <w:bookmarkStart w:name="z12" w:id="3"/>
    <w:p>
      <w:pPr>
        <w:spacing w:after="0"/>
        <w:ind w:left="0"/>
        <w:jc w:val="left"/>
      </w:pPr>
      <w:r>
        <w:rPr>
          <w:rFonts w:ascii="Times New Roman"/>
          <w:b/>
          <w:i w:val="false"/>
          <w:color w:val="000000"/>
        </w:rPr>
        <w:t xml:space="preserve"> Регламент собрания местного сообщества сельских округов Кызылжарского района Северо-Казахстанской области</w:t>
      </w:r>
    </w:p>
    <w:bookmarkEnd w:id="3"/>
    <w:p>
      <w:pPr>
        <w:spacing w:after="0"/>
        <w:ind w:left="0"/>
        <w:jc w:val="both"/>
      </w:pPr>
      <w:r>
        <w:rPr>
          <w:rFonts w:ascii="Times New Roman"/>
          <w:b w:val="false"/>
          <w:i w:val="false"/>
          <w:color w:val="ff0000"/>
          <w:sz w:val="28"/>
        </w:rPr>
        <w:t xml:space="preserve">
      Сноска. Приложение в редакции решения маслихата Кызылжарского района Северо-Казахстанской области от 05.11.2021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4"/>
    <w:p>
      <w:pPr>
        <w:spacing w:after="0"/>
        <w:ind w:left="0"/>
        <w:jc w:val="left"/>
      </w:pPr>
      <w:r>
        <w:rPr>
          <w:rFonts w:ascii="Times New Roman"/>
          <w:b/>
          <w:i w:val="false"/>
          <w:color w:val="000000"/>
        </w:rPr>
        <w:t xml:space="preserve"> </w:t>
      </w:r>
      <w:r>
        <w:rPr>
          <w:rFonts w:ascii="Times New Roman"/>
          <w:b/>
          <w:i w:val="false"/>
          <w:color w:val="000000"/>
        </w:rPr>
        <w:t>Общие положения</w:t>
      </w:r>
    </w:p>
    <w:bookmarkEnd w:id="4"/>
    <w:bookmarkStart w:name="z23" w:id="5"/>
    <w:p>
      <w:pPr>
        <w:spacing w:after="0"/>
        <w:ind w:left="0"/>
        <w:jc w:val="both"/>
      </w:pPr>
      <w:r>
        <w:rPr>
          <w:rFonts w:ascii="Times New Roman"/>
          <w:b w:val="false"/>
          <w:i w:val="false"/>
          <w:color w:val="000000"/>
          <w:sz w:val="28"/>
        </w:rPr>
        <w:t>
      1. Настоящий регламент собрания местного сообщества сельских округов Кызылжарского района Северо-Казахстанской области (далее –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w:t>
      </w:r>
    </w:p>
    <w:bookmarkEnd w:id="5"/>
    <w:bookmarkStart w:name="z24"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25"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6"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7"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8"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9"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30" w:id="12"/>
    <w:p>
      <w:pPr>
        <w:spacing w:after="0"/>
        <w:ind w:left="0"/>
        <w:jc w:val="both"/>
      </w:pPr>
      <w:r>
        <w:rPr>
          <w:rFonts w:ascii="Times New Roman"/>
          <w:b w:val="false"/>
          <w:i w:val="false"/>
          <w:color w:val="000000"/>
          <w:sz w:val="28"/>
        </w:rPr>
        <w:t xml:space="preserve">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2"/>
    <w:bookmarkStart w:name="z31"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32"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33" w:id="15"/>
    <w:p>
      <w:pPr>
        <w:spacing w:after="0"/>
        <w:ind w:left="0"/>
        <w:jc w:val="both"/>
      </w:pPr>
      <w:r>
        <w:rPr>
          <w:rFonts w:ascii="Times New Roman"/>
          <w:b w:val="false"/>
          <w:i w:val="false"/>
          <w:color w:val="000000"/>
          <w:sz w:val="28"/>
        </w:rPr>
        <w:t>
      2) 10-15 тысяч населения – 11-15 членов собрания;</w:t>
      </w:r>
    </w:p>
    <w:bookmarkEnd w:id="15"/>
    <w:bookmarkStart w:name="z34" w:id="16"/>
    <w:p>
      <w:pPr>
        <w:spacing w:after="0"/>
        <w:ind w:left="0"/>
        <w:jc w:val="both"/>
      </w:pPr>
      <w:r>
        <w:rPr>
          <w:rFonts w:ascii="Times New Roman"/>
          <w:b w:val="false"/>
          <w:i w:val="false"/>
          <w:color w:val="000000"/>
          <w:sz w:val="28"/>
        </w:rPr>
        <w:t>
      3) 15-20 тысяч населения – 16-20 членов собрания;</w:t>
      </w:r>
    </w:p>
    <w:bookmarkEnd w:id="16"/>
    <w:bookmarkStart w:name="z35" w:id="17"/>
    <w:p>
      <w:pPr>
        <w:spacing w:after="0"/>
        <w:ind w:left="0"/>
        <w:jc w:val="both"/>
      </w:pPr>
      <w:r>
        <w:rPr>
          <w:rFonts w:ascii="Times New Roman"/>
          <w:b w:val="false"/>
          <w:i w:val="false"/>
          <w:color w:val="000000"/>
          <w:sz w:val="28"/>
        </w:rPr>
        <w:t>
      4) свыше 20 тысяч населения – 21-25 членов собрания.</w:t>
      </w:r>
    </w:p>
    <w:bookmarkEnd w:id="17"/>
    <w:bookmarkStart w:name="z36" w:id="18"/>
    <w:p>
      <w:pPr>
        <w:spacing w:after="0"/>
        <w:ind w:left="0"/>
        <w:jc w:val="both"/>
      </w:pPr>
      <w:r>
        <w:rPr>
          <w:rFonts w:ascii="Times New Roman"/>
          <w:b w:val="false"/>
          <w:i w:val="false"/>
          <w:color w:val="000000"/>
          <w:sz w:val="28"/>
        </w:rPr>
        <w:t xml:space="preserve">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8"/>
    <w:bookmarkStart w:name="z37" w:id="19"/>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19"/>
    <w:bookmarkStart w:name="z38"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39" w:id="2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1"/>
    <w:bookmarkStart w:name="z40"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41" w:id="2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3"/>
    <w:bookmarkStart w:name="z42" w:id="2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43" w:id="2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5"/>
    <w:bookmarkStart w:name="z44"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6"/>
    <w:bookmarkStart w:name="z45"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7"/>
    <w:bookmarkStart w:name="z46" w:id="28"/>
    <w:p>
      <w:pPr>
        <w:spacing w:after="0"/>
        <w:ind w:left="0"/>
        <w:jc w:val="both"/>
      </w:pPr>
      <w:r>
        <w:rPr>
          <w:rFonts w:ascii="Times New Roman"/>
          <w:b w:val="false"/>
          <w:i w:val="false"/>
          <w:color w:val="000000"/>
          <w:sz w:val="28"/>
        </w:rPr>
        <w:t xml:space="preserve">
      согласование отчуждения коммунального имущества сельского округа; </w:t>
      </w:r>
    </w:p>
    <w:bookmarkEnd w:id="28"/>
    <w:bookmarkStart w:name="z47" w:id="2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9"/>
    <w:bookmarkStart w:name="z48"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30"/>
    <w:bookmarkStart w:name="z50"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51" w:id="32"/>
    <w:p>
      <w:pPr>
        <w:spacing w:after="0"/>
        <w:ind w:left="0"/>
        <w:jc w:val="both"/>
      </w:pPr>
      <w:r>
        <w:rPr>
          <w:rFonts w:ascii="Times New Roman"/>
          <w:b w:val="false"/>
          <w:i w:val="false"/>
          <w:color w:val="000000"/>
          <w:sz w:val="28"/>
        </w:rPr>
        <w:t>
      другие текущие вопросы местного сообщества.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Кызылжарского районного маслихата Северо-Казахстанской области от 25.07.2023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3"/>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3"/>
    <w:bookmarkStart w:name="z53"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
    <w:bookmarkStart w:name="z54" w:id="3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5"/>
    <w:bookmarkStart w:name="z55" w:id="36"/>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
    <w:bookmarkStart w:name="z56"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7"/>
    <w:bookmarkStart w:name="z57" w:id="3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
    <w:bookmarkStart w:name="z58" w:id="3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9"/>
    <w:bookmarkStart w:name="z59" w:id="4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0"/>
    <w:bookmarkStart w:name="z60" w:id="4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
    <w:bookmarkStart w:name="z61" w:id="42"/>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2"/>
    <w:bookmarkStart w:name="z62" w:id="4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
    <w:bookmarkStart w:name="z63"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64"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65"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66" w:id="4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47"/>
    <w:bookmarkStart w:name="z67"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68" w:id="4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69"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
    <w:bookmarkStart w:name="z70"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71"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72" w:id="5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3"/>
    <w:bookmarkStart w:name="z73" w:id="5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4"/>
    <w:bookmarkStart w:name="z74"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75"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76" w:id="57"/>
    <w:p>
      <w:pPr>
        <w:spacing w:after="0"/>
        <w:ind w:left="0"/>
        <w:jc w:val="both"/>
      </w:pPr>
      <w:r>
        <w:rPr>
          <w:rFonts w:ascii="Times New Roman"/>
          <w:b w:val="false"/>
          <w:i w:val="false"/>
          <w:color w:val="000000"/>
          <w:sz w:val="28"/>
        </w:rPr>
        <w:t>
      1) дата и место проведения собрания;</w:t>
      </w:r>
    </w:p>
    <w:bookmarkEnd w:id="57"/>
    <w:bookmarkStart w:name="z77"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78"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79"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80"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81"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2"/>
    <w:bookmarkStart w:name="z82"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3"/>
    <w:bookmarkStart w:name="z83" w:id="6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4"/>
    <w:bookmarkStart w:name="z84" w:id="6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5"/>
    <w:bookmarkStart w:name="z85"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6"/>
    <w:bookmarkStart w:name="z86" w:id="6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87" w:id="6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8"/>
    <w:bookmarkStart w:name="z88"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9"/>
    <w:bookmarkStart w:name="z89" w:id="70"/>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0"/>
    <w:bookmarkStart w:name="z90"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91"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92" w:id="73"/>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3"/>
    <w:bookmarkStart w:name="z93"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