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8d5a" w14:textId="0358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Городецкого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Городецкого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26 386,3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23 051,3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39 207,8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-12 821,5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12 821,5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12 821,5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20.10.2022 </w:t>
      </w:r>
      <w:r>
        <w:rPr>
          <w:rFonts w:ascii="Times New Roman"/>
          <w:b w:val="false"/>
          <w:i w:val="false"/>
          <w:color w:val="000000"/>
          <w:sz w:val="28"/>
        </w:rPr>
        <w:t>№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00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Городецкого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налогам, находящимся на территории Городецкого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Городецкого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Городецкого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Городецкого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Городецкого сельского округа на 2022 год в сумме 19 756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Городецкого сельского округа на 2022 год поступление целевых трансфертов из республиканского, областного и районного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Городецкого сельского округа района Шал акына Северо-Казахстанской области "О реализации решения маслихата района Шал акына "Об утверждении бюджета Городецкого сельского округа района Шал акына на 2022- 2024 годы".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20.10.2022 </w:t>
      </w:r>
      <w:r>
        <w:rPr>
          <w:rFonts w:ascii="Times New Roman"/>
          <w:b w:val="false"/>
          <w:i w:val="false"/>
          <w:color w:val="ff0000"/>
          <w:sz w:val="28"/>
        </w:rPr>
        <w:t>№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ff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