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aa8" w14:textId="a07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28 269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000000"/>
          <w:sz w:val="28"/>
        </w:rPr>
        <w:t>№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00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Юбилейного сельского округа на 2022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Юбилейного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Юбилейного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Юбилейного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Юбилейного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2022 год в сумме 21 109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Юбилейного сельского округа на 2022 год поступление целевых трансфертов из республиканского, областного и районного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Юбилейного сельского округа района Шал акына Северо-Казахстанской области "О реализации решения маслихата района Шал акына "Об утверждении бюджета Юбилейного сельского округа района Шал акына на 2022- 2024 годы".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ff0000"/>
          <w:sz w:val="28"/>
        </w:rPr>
        <w:t>№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ff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