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8c94" w14:textId="a328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26 ноября 2021 года № 896</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акимат Аягозского района ПОСТАНОВЛЯЕТ:</w:t>
      </w:r>
    </w:p>
    <w:p>
      <w:pPr>
        <w:spacing w:after="0"/>
        <w:ind w:left="0"/>
        <w:jc w:val="both"/>
      </w:pPr>
      <w:r>
        <w:rPr>
          <w:rFonts w:ascii="Times New Roman"/>
          <w:b w:val="false"/>
          <w:i w:val="false"/>
          <w:color w:val="000000"/>
          <w:sz w:val="28"/>
        </w:rPr>
        <w:t>
      1. Утвердить правил расчетов прогнозных объемов доходов и затрат бюджетов городов районного значения, сел, поселков, сельских округов, согласно приложению к настоящему постановлению.</w:t>
      </w:r>
    </w:p>
    <w:p>
      <w:pPr>
        <w:spacing w:after="0"/>
        <w:ind w:left="0"/>
        <w:jc w:val="both"/>
      </w:pPr>
      <w:r>
        <w:rPr>
          <w:rFonts w:ascii="Times New Roman"/>
          <w:b w:val="false"/>
          <w:i w:val="false"/>
          <w:color w:val="000000"/>
          <w:sz w:val="28"/>
        </w:rPr>
        <w:t>
      2. Государственному учреждению "Отдел экономики и финансов Аягозского района" (Маратова Р.) принять необходимые меры, вытекающие из настоящего постановления.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А.Ахметжановой.</w:t>
      </w:r>
    </w:p>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 xml:space="preserve">от 26 ноября 2021 года </w:t>
            </w:r>
            <w:r>
              <w:br/>
            </w:r>
            <w:r>
              <w:rPr>
                <w:rFonts w:ascii="Times New Roman"/>
                <w:b w:val="false"/>
                <w:i w:val="false"/>
                <w:color w:val="000000"/>
                <w:sz w:val="20"/>
              </w:rPr>
              <w:t>№ 896</w:t>
            </w:r>
          </w:p>
        </w:tc>
      </w:tr>
    </w:tbl>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 Глава 1. Основные положения</w:t>
      </w:r>
    </w:p>
    <w:p>
      <w:pPr>
        <w:spacing w:after="0"/>
        <w:ind w:left="0"/>
        <w:jc w:val="both"/>
      </w:pPr>
      <w:r>
        <w:rPr>
          <w:rFonts w:ascii="Times New Roman"/>
          <w:b w:val="false"/>
          <w:i w:val="false"/>
          <w:color w:val="000000"/>
          <w:sz w:val="28"/>
        </w:rPr>
        <w:t xml:space="preserve">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xml:space="preserve">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городов районного значения, сел, поселков, сельских округов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городов районного значения, сел, поселков, сельских округов производится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пункта 2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правилу расчетов </w:t>
            </w:r>
            <w:r>
              <w:br/>
            </w:r>
            <w:r>
              <w:rPr>
                <w:rFonts w:ascii="Times New Roman"/>
                <w:b w:val="false"/>
                <w:i w:val="false"/>
                <w:color w:val="000000"/>
                <w:sz w:val="20"/>
              </w:rPr>
              <w:t xml:space="preserve">прогнозных объемов доходов и </w:t>
            </w:r>
            <w:r>
              <w:br/>
            </w:r>
            <w:r>
              <w:rPr>
                <w:rFonts w:ascii="Times New Roman"/>
                <w:b w:val="false"/>
                <w:i w:val="false"/>
                <w:color w:val="000000"/>
                <w:sz w:val="20"/>
              </w:rPr>
              <w:t xml:space="preserve">затрат </w:t>
            </w:r>
            <w:r>
              <w:br/>
            </w:r>
            <w:r>
              <w:rPr>
                <w:rFonts w:ascii="Times New Roman"/>
                <w:b w:val="false"/>
                <w:i w:val="false"/>
                <w:color w:val="000000"/>
                <w:sz w:val="20"/>
              </w:rPr>
              <w:t xml:space="preserve">бюджетов городов районного </w:t>
            </w:r>
            <w:r>
              <w:br/>
            </w:r>
            <w:r>
              <w:rPr>
                <w:rFonts w:ascii="Times New Roman"/>
                <w:b w:val="false"/>
                <w:i w:val="false"/>
                <w:color w:val="000000"/>
                <w:sz w:val="20"/>
              </w:rPr>
              <w:t xml:space="preserve">значения, </w:t>
            </w:r>
            <w:r>
              <w:br/>
            </w:r>
            <w:r>
              <w:rPr>
                <w:rFonts w:ascii="Times New Roman"/>
                <w:b w:val="false"/>
                <w:i w:val="false"/>
                <w:color w:val="000000"/>
                <w:sz w:val="20"/>
              </w:rPr>
              <w:t>сел, поселков, сельских округов</w:t>
            </w:r>
          </w:p>
        </w:tc>
      </w:tr>
    </w:tbl>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