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cf91" w14:textId="429c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Никольскому сельскому округу района Алтай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сентября 2021 года № 7/16-VII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Никольскому сельскому округу района Алтай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23/7-VII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Никольском сельском округе района Алтай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21.10.2022 № 23/7-VII.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Никольском сельском округе района Алтай на 2022-2023 годы (далее –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Никольского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Никольском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Никольском сельском округе имеются 4 населенных пунктов.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Никольского сельского округа 66572 га, из них пашни – 13459 га, пастбищные земли – 40152 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49717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6997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42 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- 9816 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Никольского сельского округа находится в двух земледельческих зонах, в горной лугово-степной зоне и предгорной степной умеренно увлажненной. Климат резко-континентальный с суровой и продолжительной зимой, коротким и жарким летом, скоротечной весной и осенью. Средняя температура воздуха – 16 градусов. Осадков выпадает за год в среднем 420 мм. Максимальное количество их приходится на июль.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горностепные.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Никольского сельского округа имеется ветеринарный пункт, пункт искусственного осеменения скота, скотомогильник.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Никольском сельском округе насчитывается крупного рогатого скота 2189 головы, из них маточное (дойное) поголовье 985 голов, мелкого рогатого скота 2175 голов, лошадей 669 голов,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 из них: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Никольск: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533 головы, из них маточное (дойное) поголовье 247 голов, мелкого рогатого скота 875 голов, лошадей - 307 голов.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2300 га.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Бородино: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1395 голов, из них маточное (дойное) поголовье 610 голов, мелкого рогатого скота 903 головы, лошадей - 220 голов.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2050 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Алтайка: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24 головы, из них маточное (дойное) поголовье 8 голов, мелкого рогатого скота 17 голов, лошадей – 24 головы.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1076 га.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Кремнюха: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237 голов, из них маточное (дойное) поголовье 120 голов, мелкого рогатого скота 380 голов, лошадей – 118 голов.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1000 га.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Никольскому сельскому округу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Никольскому сельскому округу, имеются всего 40185 га пастбищных угодий, в черте населенных пунктов числится 6426 га пастбищ.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Никольск, село Бородино, село Алтайка, село Кремнюха) по содержанию маточного (дойного) поголовья сельскохозяйственных животных при имеющихся пастбищных угодьях населенных пунктов в размере 6426 га, потребность составляет 1048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.Бородино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3 га, мелкий рогатый скот – 0,5 га, лошадей – 5 га, также производится в черте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села Никольск организовано 2 гурта: 1 гурт - севернее села Никольск, водопой - ручей Земляной; 2 гурт – южнее села Никольск, водопой- ручьи.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Бородино организовано 3 гурта: 1 гурт - севернее села Бородино, водопой - ручей Пашенная канавочка; 2 гурт - западнее села Бородино, водопой - река Черемшанка, ручьи; 3 гурт - южнее села Бородино, водопой - река Черемшанка, ручьи.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Алтайка организован 1 гурт - севернее села Алтайка, водопой - ручьи.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Кремнюха организовано 2 гурта: 1 гурт - севернее села Кремнюха, водопой - ручей Кремнюшенский, ручьи; 2 гурт - южнее села Кремнюха, водопой - ручей Кремнюшенский, ручьи.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-ТОО), крестьянских и фермерских хозяйствах Никольского сельского округа составляет: крупного рогатого скота 1517 голов, мелкого рогатого скота 346 голов, лошадей 365 голов.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30415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"Никольское"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"Кремнюшенское"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"Бородино"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"Улар"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"Санур-Агро"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"Никольск 1"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Каирканова Б.М.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"Бородино"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"Коломанов Т."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"Сеитов Т.Т."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"Гульмира"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"АсЗар"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товарищество"Тычинский А.П."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товарищество ПТ "Тимур"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"Кункель А.В."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"Ткач А.И."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Т.К.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крестьянского хозяйства "Бородино" в размере 1519 га необходимо восполнить за счет выпаса сельскохозяйственных животных на землях, предоставленных ТОО "Бородино", потребность пастбищных угодий крестьянского хозяйства "Сеитов Т.Т." и Калиева Т.К. в размере 240 га на землях населенного пункта.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Никольском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Никольского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Никольском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Никольском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 и площадей пастбищ, в том числе сезонных, объектов пастбищной инфраструктуры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0739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Никольском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Никольском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Никольском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Никольском сельском округе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Никольском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Никольском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4770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