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a74e20" w14:textId="ea74e2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Плана по управлению пастбищами и их использованию по Средигорненскому сельскому округу района Алтай на 2022-2023 годы</w:t>
      </w:r>
    </w:p>
    <w:p>
      <w:pPr>
        <w:spacing w:after="0"/>
        <w:ind w:left="0"/>
        <w:jc w:val="both"/>
      </w:pPr>
      <w:r>
        <w:rPr>
          <w:rFonts w:ascii="Times New Roman"/>
          <w:b w:val="false"/>
          <w:i w:val="false"/>
          <w:color w:val="000000"/>
          <w:sz w:val="28"/>
        </w:rPr>
        <w:t>Решение маслихата района Алтай Восточно-Казахстанской области от 28 сентября 2021 года № 7/22-VII</w:t>
      </w:r>
    </w:p>
    <w:p>
      <w:pPr>
        <w:spacing w:after="0"/>
        <w:ind w:left="0"/>
        <w:jc w:val="both"/>
      </w:pPr>
      <w:bookmarkStart w:name="z5" w:id="0"/>
      <w:r>
        <w:rPr>
          <w:rFonts w:ascii="Times New Roman"/>
          <w:b w:val="false"/>
          <w:i w:val="false"/>
          <w:color w:val="000000"/>
          <w:sz w:val="28"/>
        </w:rPr>
        <w:t xml:space="preserve">
      В соответствии со </w:t>
      </w:r>
      <w:r>
        <w:rPr>
          <w:rFonts w:ascii="Times New Roman"/>
          <w:b w:val="false"/>
          <w:i w:val="false"/>
          <w:color w:val="000000"/>
          <w:sz w:val="28"/>
        </w:rPr>
        <w:t>статьями 8</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Закона Республики Казахстан "О пастбищах", маслихат района Алтай РЕШИЛ:</w:t>
      </w:r>
    </w:p>
    <w:bookmarkEnd w:id="0"/>
    <w:bookmarkStart w:name="z6" w:id="1"/>
    <w:p>
      <w:pPr>
        <w:spacing w:after="0"/>
        <w:ind w:left="0"/>
        <w:jc w:val="both"/>
      </w:pPr>
      <w:r>
        <w:rPr>
          <w:rFonts w:ascii="Times New Roman"/>
          <w:b w:val="false"/>
          <w:i w:val="false"/>
          <w:color w:val="000000"/>
          <w:sz w:val="28"/>
        </w:rPr>
        <w:t xml:space="preserve">
      1. Утвердить </w:t>
      </w:r>
      <w:r>
        <w:rPr>
          <w:rFonts w:ascii="Times New Roman"/>
          <w:b w:val="false"/>
          <w:i w:val="false"/>
          <w:color w:val="000000"/>
          <w:sz w:val="28"/>
        </w:rPr>
        <w:t>План</w:t>
      </w:r>
      <w:r>
        <w:rPr>
          <w:rFonts w:ascii="Times New Roman"/>
          <w:b w:val="false"/>
          <w:i w:val="false"/>
          <w:color w:val="000000"/>
          <w:sz w:val="28"/>
        </w:rPr>
        <w:t xml:space="preserve"> по управлению пастбищами и их использованию по Средигорненскому сельскому округу района Алтай на 2022-2023 годы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End w:id="1"/>
    <w:bookmarkStart w:name="z7" w:id="2"/>
    <w:p>
      <w:pPr>
        <w:spacing w:after="0"/>
        <w:ind w:left="0"/>
        <w:jc w:val="both"/>
      </w:pPr>
      <w:r>
        <w:rPr>
          <w:rFonts w:ascii="Times New Roman"/>
          <w:b w:val="false"/>
          <w:i w:val="false"/>
          <w:color w:val="000000"/>
          <w:sz w:val="28"/>
        </w:rPr>
        <w:t>
      2. Настоящее решение вводится в действие с 1 января 2022 года.</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Секретарь маслихата района Алтай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 Гречушникова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r>
              <w:br/>
            </w:r>
            <w:r>
              <w:rPr>
                <w:rFonts w:ascii="Times New Roman"/>
                <w:b w:val="false"/>
                <w:i w:val="false"/>
                <w:color w:val="000000"/>
                <w:sz w:val="20"/>
              </w:rPr>
              <w:t>маслихата района Алтай</w:t>
            </w:r>
            <w:r>
              <w:br/>
            </w:r>
            <w:r>
              <w:rPr>
                <w:rFonts w:ascii="Times New Roman"/>
                <w:b w:val="false"/>
                <w:i w:val="false"/>
                <w:color w:val="000000"/>
                <w:sz w:val="20"/>
              </w:rPr>
              <w:t>от 21 октября 2022 года</w:t>
            </w:r>
            <w:r>
              <w:br/>
            </w:r>
            <w:r>
              <w:rPr>
                <w:rFonts w:ascii="Times New Roman"/>
                <w:b w:val="false"/>
                <w:i w:val="false"/>
                <w:color w:val="000000"/>
                <w:sz w:val="20"/>
              </w:rPr>
              <w:t>№ 23/13-VII</w:t>
            </w:r>
          </w:p>
        </w:tc>
      </w:tr>
    </w:tbl>
    <w:bookmarkStart w:name="z10" w:id="3"/>
    <w:p>
      <w:pPr>
        <w:spacing w:after="0"/>
        <w:ind w:left="0"/>
        <w:jc w:val="left"/>
      </w:pPr>
      <w:r>
        <w:rPr>
          <w:rFonts w:ascii="Times New Roman"/>
          <w:b/>
          <w:i w:val="false"/>
          <w:color w:val="000000"/>
        </w:rPr>
        <w:t xml:space="preserve"> План по управлению пастбищами и их использованию в Средигорненском сельском округе района Алтай на 2022-2023 годы</w:t>
      </w:r>
    </w:p>
    <w:bookmarkEnd w:id="3"/>
    <w:p>
      <w:pPr>
        <w:spacing w:after="0"/>
        <w:ind w:left="0"/>
        <w:jc w:val="both"/>
      </w:pPr>
      <w:r>
        <w:rPr>
          <w:rFonts w:ascii="Times New Roman"/>
          <w:b w:val="false"/>
          <w:i w:val="false"/>
          <w:color w:val="ff0000"/>
          <w:sz w:val="28"/>
        </w:rPr>
        <w:t xml:space="preserve">
      Сноска. План в редакции </w:t>
      </w:r>
      <w:r>
        <w:rPr>
          <w:rFonts w:ascii="Times New Roman"/>
          <w:b w:val="false"/>
          <w:i w:val="false"/>
          <w:color w:val="ff0000"/>
          <w:sz w:val="28"/>
        </w:rPr>
        <w:t>решения</w:t>
      </w:r>
      <w:r>
        <w:rPr>
          <w:rFonts w:ascii="Times New Roman"/>
          <w:b w:val="false"/>
          <w:i w:val="false"/>
          <w:color w:val="ff0000"/>
          <w:sz w:val="28"/>
        </w:rPr>
        <w:t xml:space="preserve"> маслихата района Алтай Восточно-Казахстанской области от 21.10.2022 № 23/13-VII.</w:t>
      </w:r>
    </w:p>
    <w:bookmarkStart w:name="z11" w:id="4"/>
    <w:p>
      <w:pPr>
        <w:spacing w:after="0"/>
        <w:ind w:left="0"/>
        <w:jc w:val="both"/>
      </w:pPr>
      <w:r>
        <w:rPr>
          <w:rFonts w:ascii="Times New Roman"/>
          <w:b w:val="false"/>
          <w:i w:val="false"/>
          <w:color w:val="000000"/>
          <w:sz w:val="28"/>
        </w:rPr>
        <w:t>
      Настоящий План по управлению пастбищами и их использованию в Средигорненском сельском округе района Алтай на 2022-2023 годы (далее - План) разработан в соответствии с Законами Республики Казахстан "</w:t>
      </w:r>
      <w:r>
        <w:rPr>
          <w:rFonts w:ascii="Times New Roman"/>
          <w:b w:val="false"/>
          <w:i w:val="false"/>
          <w:color w:val="000000"/>
          <w:sz w:val="28"/>
        </w:rPr>
        <w:t>О местном государственном управлении и самоуправлении в Республике Казахстан</w:t>
      </w:r>
      <w:r>
        <w:rPr>
          <w:rFonts w:ascii="Times New Roman"/>
          <w:b w:val="false"/>
          <w:i w:val="false"/>
          <w:color w:val="000000"/>
          <w:sz w:val="28"/>
        </w:rPr>
        <w:t>", "</w:t>
      </w:r>
      <w:r>
        <w:rPr>
          <w:rFonts w:ascii="Times New Roman"/>
          <w:b w:val="false"/>
          <w:i w:val="false"/>
          <w:color w:val="000000"/>
          <w:sz w:val="28"/>
        </w:rPr>
        <w:t>О пастбищах</w:t>
      </w:r>
      <w:r>
        <w:rPr>
          <w:rFonts w:ascii="Times New Roman"/>
          <w:b w:val="false"/>
          <w:i w:val="false"/>
          <w:color w:val="000000"/>
          <w:sz w:val="28"/>
        </w:rPr>
        <w:t xml:space="preserve">", </w:t>
      </w:r>
      <w:r>
        <w:rPr>
          <w:rFonts w:ascii="Times New Roman"/>
          <w:b w:val="false"/>
          <w:i w:val="false"/>
          <w:color w:val="000000"/>
          <w:sz w:val="28"/>
        </w:rPr>
        <w:t>приказом</w:t>
      </w:r>
      <w:r>
        <w:rPr>
          <w:rFonts w:ascii="Times New Roman"/>
          <w:b w:val="false"/>
          <w:i w:val="false"/>
          <w:color w:val="000000"/>
          <w:sz w:val="28"/>
        </w:rPr>
        <w:t xml:space="preserve"> Заместителя Премьер-Министра Республики Казахстан - Министра сельского хозяйства Республики Казахстан от 24 апреля 2017 года № 173 "Об утверждении Правил рационального использования пастбищ" (зарегистрирован в Реестре государственной регистрации нормативных правовых актов № 15090), </w:t>
      </w:r>
      <w:r>
        <w:rPr>
          <w:rFonts w:ascii="Times New Roman"/>
          <w:b w:val="false"/>
          <w:i w:val="false"/>
          <w:color w:val="000000"/>
          <w:sz w:val="28"/>
        </w:rPr>
        <w:t>приказом</w:t>
      </w:r>
      <w:r>
        <w:rPr>
          <w:rFonts w:ascii="Times New Roman"/>
          <w:b w:val="false"/>
          <w:i w:val="false"/>
          <w:color w:val="000000"/>
          <w:sz w:val="28"/>
        </w:rPr>
        <w:t xml:space="preserve"> Министра сельского хозяйства Республики Казахстан от 14 апреля 2015 года № 3-3/332 "Об утверждении предельно допустимой нормы нагрузки на общую площадь пастбищ" (зарегистрирован в Реестре государственной регистрации нормативных правовых актов № 11064).</w:t>
      </w:r>
    </w:p>
    <w:bookmarkEnd w:id="4"/>
    <w:bookmarkStart w:name="z12" w:id="5"/>
    <w:p>
      <w:pPr>
        <w:spacing w:after="0"/>
        <w:ind w:left="0"/>
        <w:jc w:val="both"/>
      </w:pPr>
      <w:r>
        <w:rPr>
          <w:rFonts w:ascii="Times New Roman"/>
          <w:b w:val="false"/>
          <w:i w:val="false"/>
          <w:color w:val="000000"/>
          <w:sz w:val="28"/>
        </w:rPr>
        <w:t>
      План принимается в целях рационального использования пастбищ, устойчивого обеспечения потребности в кормах и предотвращения процессов деградации пастбищ.</w:t>
      </w:r>
    </w:p>
    <w:bookmarkEnd w:id="5"/>
    <w:bookmarkStart w:name="z13" w:id="6"/>
    <w:p>
      <w:pPr>
        <w:spacing w:after="0"/>
        <w:ind w:left="0"/>
        <w:jc w:val="both"/>
      </w:pPr>
      <w:r>
        <w:rPr>
          <w:rFonts w:ascii="Times New Roman"/>
          <w:b w:val="false"/>
          <w:i w:val="false"/>
          <w:color w:val="000000"/>
          <w:sz w:val="28"/>
        </w:rPr>
        <w:t>
      План содержит:</w:t>
      </w:r>
    </w:p>
    <w:bookmarkEnd w:id="6"/>
    <w:bookmarkStart w:name="z14" w:id="7"/>
    <w:p>
      <w:pPr>
        <w:spacing w:after="0"/>
        <w:ind w:left="0"/>
        <w:jc w:val="both"/>
      </w:pPr>
      <w:r>
        <w:rPr>
          <w:rFonts w:ascii="Times New Roman"/>
          <w:b w:val="false"/>
          <w:i w:val="false"/>
          <w:color w:val="000000"/>
          <w:sz w:val="28"/>
        </w:rPr>
        <w:t>
      схему (карту) расположения пастбищ на территории Средигорненского сельского округа района Алтай в разрезе категорий земель, собственников земельных участков и землепользователей на основании правоустанавливающих документов (</w:t>
      </w:r>
      <w:r>
        <w:rPr>
          <w:rFonts w:ascii="Times New Roman"/>
          <w:b w:val="false"/>
          <w:i w:val="false"/>
          <w:color w:val="000000"/>
          <w:sz w:val="28"/>
        </w:rPr>
        <w:t>Приложение 1</w:t>
      </w:r>
      <w:r>
        <w:rPr>
          <w:rFonts w:ascii="Times New Roman"/>
          <w:b w:val="false"/>
          <w:i w:val="false"/>
          <w:color w:val="000000"/>
          <w:sz w:val="28"/>
        </w:rPr>
        <w:t>);</w:t>
      </w:r>
    </w:p>
    <w:bookmarkEnd w:id="7"/>
    <w:bookmarkStart w:name="z15" w:id="8"/>
    <w:p>
      <w:pPr>
        <w:spacing w:after="0"/>
        <w:ind w:left="0"/>
        <w:jc w:val="both"/>
      </w:pPr>
      <w:r>
        <w:rPr>
          <w:rFonts w:ascii="Times New Roman"/>
          <w:b w:val="false"/>
          <w:i w:val="false"/>
          <w:color w:val="000000"/>
          <w:sz w:val="28"/>
        </w:rPr>
        <w:t>
      приемлемые схемы пастбищеоборотов (</w:t>
      </w:r>
      <w:r>
        <w:rPr>
          <w:rFonts w:ascii="Times New Roman"/>
          <w:b w:val="false"/>
          <w:i w:val="false"/>
          <w:color w:val="000000"/>
          <w:sz w:val="28"/>
        </w:rPr>
        <w:t>Приложение 2</w:t>
      </w:r>
      <w:r>
        <w:rPr>
          <w:rFonts w:ascii="Times New Roman"/>
          <w:b w:val="false"/>
          <w:i w:val="false"/>
          <w:color w:val="000000"/>
          <w:sz w:val="28"/>
        </w:rPr>
        <w:t>);</w:t>
      </w:r>
    </w:p>
    <w:bookmarkEnd w:id="8"/>
    <w:bookmarkStart w:name="z16" w:id="9"/>
    <w:p>
      <w:pPr>
        <w:spacing w:after="0"/>
        <w:ind w:left="0"/>
        <w:jc w:val="both"/>
      </w:pPr>
      <w:r>
        <w:rPr>
          <w:rFonts w:ascii="Times New Roman"/>
          <w:b w:val="false"/>
          <w:i w:val="false"/>
          <w:color w:val="000000"/>
          <w:sz w:val="28"/>
        </w:rPr>
        <w:t>
      3) карту с обозначением внешних и внутренних границ и площадей пастбищ, в том числе сезонных, объектов пастбищной инфраструктуры (</w:t>
      </w:r>
      <w:r>
        <w:rPr>
          <w:rFonts w:ascii="Times New Roman"/>
          <w:b w:val="false"/>
          <w:i w:val="false"/>
          <w:color w:val="000000"/>
          <w:sz w:val="28"/>
        </w:rPr>
        <w:t>Приложение 3</w:t>
      </w:r>
      <w:r>
        <w:rPr>
          <w:rFonts w:ascii="Times New Roman"/>
          <w:b w:val="false"/>
          <w:i w:val="false"/>
          <w:color w:val="000000"/>
          <w:sz w:val="28"/>
        </w:rPr>
        <w:t>);</w:t>
      </w:r>
    </w:p>
    <w:bookmarkEnd w:id="9"/>
    <w:bookmarkStart w:name="z17" w:id="10"/>
    <w:p>
      <w:pPr>
        <w:spacing w:after="0"/>
        <w:ind w:left="0"/>
        <w:jc w:val="both"/>
      </w:pPr>
      <w:r>
        <w:rPr>
          <w:rFonts w:ascii="Times New Roman"/>
          <w:b w:val="false"/>
          <w:i w:val="false"/>
          <w:color w:val="000000"/>
          <w:sz w:val="28"/>
        </w:rPr>
        <w:t>
      4) схему доступа пастбищепользователей к водоисточникам (озерам, рекам, прудам, копаням, оросительным или обводнительным каналам, трубчатым или шахтным колодцам), составленную согласно норме потребления воды (</w:t>
      </w:r>
      <w:r>
        <w:rPr>
          <w:rFonts w:ascii="Times New Roman"/>
          <w:b w:val="false"/>
          <w:i w:val="false"/>
          <w:color w:val="000000"/>
          <w:sz w:val="28"/>
        </w:rPr>
        <w:t>Приложение 4</w:t>
      </w:r>
      <w:r>
        <w:rPr>
          <w:rFonts w:ascii="Times New Roman"/>
          <w:b w:val="false"/>
          <w:i w:val="false"/>
          <w:color w:val="000000"/>
          <w:sz w:val="28"/>
        </w:rPr>
        <w:t>);</w:t>
      </w:r>
    </w:p>
    <w:bookmarkEnd w:id="10"/>
    <w:bookmarkStart w:name="z18" w:id="11"/>
    <w:p>
      <w:pPr>
        <w:spacing w:after="0"/>
        <w:ind w:left="0"/>
        <w:jc w:val="both"/>
      </w:pPr>
      <w:r>
        <w:rPr>
          <w:rFonts w:ascii="Times New Roman"/>
          <w:b w:val="false"/>
          <w:i w:val="false"/>
          <w:color w:val="000000"/>
          <w:sz w:val="28"/>
        </w:rPr>
        <w:t>
      5) схему перераспределения пастбищ для размещения поголовья сельскохозяйственных животных физических и (или) юридических лиц, у которых отсутствуют пастбища, и перемещения его на предоставляемые пастбища (</w:t>
      </w:r>
      <w:r>
        <w:rPr>
          <w:rFonts w:ascii="Times New Roman"/>
          <w:b w:val="false"/>
          <w:i w:val="false"/>
          <w:color w:val="000000"/>
          <w:sz w:val="28"/>
        </w:rPr>
        <w:t>Приложение 5</w:t>
      </w:r>
      <w:r>
        <w:rPr>
          <w:rFonts w:ascii="Times New Roman"/>
          <w:b w:val="false"/>
          <w:i w:val="false"/>
          <w:color w:val="000000"/>
          <w:sz w:val="28"/>
        </w:rPr>
        <w:t>);</w:t>
      </w:r>
    </w:p>
    <w:bookmarkEnd w:id="11"/>
    <w:bookmarkStart w:name="z19" w:id="12"/>
    <w:p>
      <w:pPr>
        <w:spacing w:after="0"/>
        <w:ind w:left="0"/>
        <w:jc w:val="both"/>
      </w:pPr>
      <w:r>
        <w:rPr>
          <w:rFonts w:ascii="Times New Roman"/>
          <w:b w:val="false"/>
          <w:i w:val="false"/>
          <w:color w:val="000000"/>
          <w:sz w:val="28"/>
        </w:rPr>
        <w:t>
      6) схему размещения поголовья сельскохозяйственных животных на отгонных пастбищах физических и (или) юридических лиц, не обеспеченных пастбищами, расположенными в Средигорненском сельском округе (</w:t>
      </w:r>
      <w:r>
        <w:rPr>
          <w:rFonts w:ascii="Times New Roman"/>
          <w:b w:val="false"/>
          <w:i w:val="false"/>
          <w:color w:val="000000"/>
          <w:sz w:val="28"/>
        </w:rPr>
        <w:t>Приложение 6</w:t>
      </w:r>
      <w:r>
        <w:rPr>
          <w:rFonts w:ascii="Times New Roman"/>
          <w:b w:val="false"/>
          <w:i w:val="false"/>
          <w:color w:val="000000"/>
          <w:sz w:val="28"/>
        </w:rPr>
        <w:t>);</w:t>
      </w:r>
    </w:p>
    <w:bookmarkEnd w:id="12"/>
    <w:bookmarkStart w:name="z20" w:id="13"/>
    <w:p>
      <w:pPr>
        <w:spacing w:after="0"/>
        <w:ind w:left="0"/>
        <w:jc w:val="both"/>
      </w:pPr>
      <w:r>
        <w:rPr>
          <w:rFonts w:ascii="Times New Roman"/>
          <w:b w:val="false"/>
          <w:i w:val="false"/>
          <w:color w:val="000000"/>
          <w:sz w:val="28"/>
        </w:rPr>
        <w:t>
      7) календарный график по использованию пастбищ, устанавливающий сезонные маршруты выпаса и передвижения сельскохозяйственных животных (</w:t>
      </w:r>
      <w:r>
        <w:rPr>
          <w:rFonts w:ascii="Times New Roman"/>
          <w:b w:val="false"/>
          <w:i w:val="false"/>
          <w:color w:val="000000"/>
          <w:sz w:val="28"/>
        </w:rPr>
        <w:t>Приложение 7</w:t>
      </w:r>
      <w:r>
        <w:rPr>
          <w:rFonts w:ascii="Times New Roman"/>
          <w:b w:val="false"/>
          <w:i w:val="false"/>
          <w:color w:val="000000"/>
          <w:sz w:val="28"/>
        </w:rPr>
        <w:t>);</w:t>
      </w:r>
    </w:p>
    <w:bookmarkEnd w:id="13"/>
    <w:bookmarkStart w:name="z21" w:id="14"/>
    <w:p>
      <w:pPr>
        <w:spacing w:after="0"/>
        <w:ind w:left="0"/>
        <w:jc w:val="both"/>
      </w:pPr>
      <w:r>
        <w:rPr>
          <w:rFonts w:ascii="Times New Roman"/>
          <w:b w:val="false"/>
          <w:i w:val="false"/>
          <w:color w:val="000000"/>
          <w:sz w:val="28"/>
        </w:rPr>
        <w:t>
      7-1) Карта с обозначением внешних и внутренних границ и площадей пастбищ, необходимых для удовлетворения нужд населения для выпаса сельскохозяйственных животных личного подворья, в зависимости от местных условий и особенностей (</w:t>
      </w:r>
      <w:r>
        <w:rPr>
          <w:rFonts w:ascii="Times New Roman"/>
          <w:b w:val="false"/>
          <w:i w:val="false"/>
          <w:color w:val="000000"/>
          <w:sz w:val="28"/>
        </w:rPr>
        <w:t>Приложение 7-1</w:t>
      </w:r>
      <w:r>
        <w:rPr>
          <w:rFonts w:ascii="Times New Roman"/>
          <w:b w:val="false"/>
          <w:i w:val="false"/>
          <w:color w:val="000000"/>
          <w:sz w:val="28"/>
        </w:rPr>
        <w:t>).</w:t>
      </w:r>
    </w:p>
    <w:bookmarkEnd w:id="14"/>
    <w:bookmarkStart w:name="z22" w:id="15"/>
    <w:p>
      <w:pPr>
        <w:spacing w:after="0"/>
        <w:ind w:left="0"/>
        <w:jc w:val="both"/>
      </w:pPr>
      <w:r>
        <w:rPr>
          <w:rFonts w:ascii="Times New Roman"/>
          <w:b w:val="false"/>
          <w:i w:val="false"/>
          <w:color w:val="000000"/>
          <w:sz w:val="28"/>
        </w:rPr>
        <w:t>
      План принят с учетом сведений о состоянии геоботанического обследования пастбищ, сведений о ветеринарно-санитарных объектах, данных о численности поголовья сельскохозяйственных животных с указанием их владельцев - пастбищепользователей, физических и (или) юридических лиц, данных о количестве гуртов, отар, табунов, сформированных по видам и половозрастным группам сельскохозяйственных животных, сведений о формировании поголовья сельскохозяйственных животных для выпаса на отгонных пастбищах, особенностей выпаса сельскохозяйственных животных на культурных и аридных пастбищах, сведений о сервитутах для прогона скота и иных данных, предоставленных государственными органами, физическими и (или) юридическими лицами.</w:t>
      </w:r>
    </w:p>
    <w:bookmarkEnd w:id="15"/>
    <w:bookmarkStart w:name="z23" w:id="16"/>
    <w:p>
      <w:pPr>
        <w:spacing w:after="0"/>
        <w:ind w:left="0"/>
        <w:jc w:val="both"/>
      </w:pPr>
      <w:r>
        <w:rPr>
          <w:rFonts w:ascii="Times New Roman"/>
          <w:b w:val="false"/>
          <w:i w:val="false"/>
          <w:color w:val="000000"/>
          <w:sz w:val="28"/>
        </w:rPr>
        <w:t>
      По административно-территориальному делению в Средигорненском сельском округе имеются 4 населенных пункта.</w:t>
      </w:r>
    </w:p>
    <w:bookmarkEnd w:id="16"/>
    <w:bookmarkStart w:name="z24" w:id="17"/>
    <w:p>
      <w:pPr>
        <w:spacing w:after="0"/>
        <w:ind w:left="0"/>
        <w:jc w:val="both"/>
      </w:pPr>
      <w:r>
        <w:rPr>
          <w:rFonts w:ascii="Times New Roman"/>
          <w:b w:val="false"/>
          <w:i w:val="false"/>
          <w:color w:val="000000"/>
          <w:sz w:val="28"/>
        </w:rPr>
        <w:t>
      Общая площадь территории Средигорненского сельского округа 51910 гектар, из них пашни – 10115 га, пастбищные земли – 33978 га.</w:t>
      </w:r>
    </w:p>
    <w:bookmarkEnd w:id="17"/>
    <w:bookmarkStart w:name="z25" w:id="18"/>
    <w:p>
      <w:pPr>
        <w:spacing w:after="0"/>
        <w:ind w:left="0"/>
        <w:jc w:val="both"/>
      </w:pPr>
      <w:r>
        <w:rPr>
          <w:rFonts w:ascii="Times New Roman"/>
          <w:b w:val="false"/>
          <w:i w:val="false"/>
          <w:color w:val="000000"/>
          <w:sz w:val="28"/>
        </w:rPr>
        <w:t>
      По категориям земли подразделяются на:</w:t>
      </w:r>
    </w:p>
    <w:bookmarkEnd w:id="18"/>
    <w:bookmarkStart w:name="z26" w:id="19"/>
    <w:p>
      <w:pPr>
        <w:spacing w:after="0"/>
        <w:ind w:left="0"/>
        <w:jc w:val="both"/>
      </w:pPr>
      <w:r>
        <w:rPr>
          <w:rFonts w:ascii="Times New Roman"/>
          <w:b w:val="false"/>
          <w:i w:val="false"/>
          <w:color w:val="000000"/>
          <w:sz w:val="28"/>
        </w:rPr>
        <w:t>
      земли сельскохозяйственного назначения – 15593 га;</w:t>
      </w:r>
    </w:p>
    <w:bookmarkEnd w:id="19"/>
    <w:bookmarkStart w:name="z27" w:id="20"/>
    <w:p>
      <w:pPr>
        <w:spacing w:after="0"/>
        <w:ind w:left="0"/>
        <w:jc w:val="both"/>
      </w:pPr>
      <w:r>
        <w:rPr>
          <w:rFonts w:ascii="Times New Roman"/>
          <w:b w:val="false"/>
          <w:i w:val="false"/>
          <w:color w:val="000000"/>
          <w:sz w:val="28"/>
        </w:rPr>
        <w:t>
      земли населенных пунктов – 7530 га;</w:t>
      </w:r>
    </w:p>
    <w:bookmarkEnd w:id="20"/>
    <w:bookmarkStart w:name="z28" w:id="21"/>
    <w:p>
      <w:pPr>
        <w:spacing w:after="0"/>
        <w:ind w:left="0"/>
        <w:jc w:val="both"/>
      </w:pPr>
      <w:r>
        <w:rPr>
          <w:rFonts w:ascii="Times New Roman"/>
          <w:b w:val="false"/>
          <w:i w:val="false"/>
          <w:color w:val="000000"/>
          <w:sz w:val="28"/>
        </w:rPr>
        <w:t>
      земли промышленности, транспорта, связи, для нужд космической деятельности, обороны, национальной безопасности и иного несельскохозяйственного назначения – 0,1 га;</w:t>
      </w:r>
    </w:p>
    <w:bookmarkEnd w:id="21"/>
    <w:bookmarkStart w:name="z29" w:id="22"/>
    <w:p>
      <w:pPr>
        <w:spacing w:after="0"/>
        <w:ind w:left="0"/>
        <w:jc w:val="both"/>
      </w:pPr>
      <w:r>
        <w:rPr>
          <w:rFonts w:ascii="Times New Roman"/>
          <w:b w:val="false"/>
          <w:i w:val="false"/>
          <w:color w:val="000000"/>
          <w:sz w:val="28"/>
        </w:rPr>
        <w:t>
      земли запаса - 28787 га.</w:t>
      </w:r>
    </w:p>
    <w:bookmarkEnd w:id="22"/>
    <w:bookmarkStart w:name="z30" w:id="23"/>
    <w:p>
      <w:pPr>
        <w:spacing w:after="0"/>
        <w:ind w:left="0"/>
        <w:jc w:val="both"/>
      </w:pPr>
      <w:r>
        <w:rPr>
          <w:rFonts w:ascii="Times New Roman"/>
          <w:b w:val="false"/>
          <w:i w:val="false"/>
          <w:color w:val="000000"/>
          <w:sz w:val="28"/>
        </w:rPr>
        <w:t>
      По природным условиям территория Средигорненского сельского округа относится к горно-лугово-степной влажной подзоне горностепной зоны. Климат влажный, умеренно теплый. Осадков выпадает за год в среднем 615 мм. Максимальное количество их приходится на июль.</w:t>
      </w:r>
    </w:p>
    <w:bookmarkEnd w:id="23"/>
    <w:bookmarkStart w:name="z31" w:id="24"/>
    <w:p>
      <w:pPr>
        <w:spacing w:after="0"/>
        <w:ind w:left="0"/>
        <w:jc w:val="both"/>
      </w:pPr>
      <w:r>
        <w:rPr>
          <w:rFonts w:ascii="Times New Roman"/>
          <w:b w:val="false"/>
          <w:i w:val="false"/>
          <w:color w:val="000000"/>
          <w:sz w:val="28"/>
        </w:rPr>
        <w:t>
      Почвы в основном горные черноземы, выщелоченные и горностепные.</w:t>
      </w:r>
    </w:p>
    <w:bookmarkEnd w:id="24"/>
    <w:bookmarkStart w:name="z32" w:id="25"/>
    <w:p>
      <w:pPr>
        <w:spacing w:after="0"/>
        <w:ind w:left="0"/>
        <w:jc w:val="both"/>
      </w:pPr>
      <w:r>
        <w:rPr>
          <w:rFonts w:ascii="Times New Roman"/>
          <w:b w:val="false"/>
          <w:i w:val="false"/>
          <w:color w:val="000000"/>
          <w:sz w:val="28"/>
        </w:rPr>
        <w:t xml:space="preserve">
      На территории Средигорненского сельского округа имеется ветеринарный пункт и пункт искусственного осеменения скота. </w:t>
      </w:r>
    </w:p>
    <w:bookmarkEnd w:id="25"/>
    <w:bookmarkStart w:name="z33" w:id="26"/>
    <w:p>
      <w:pPr>
        <w:spacing w:after="0"/>
        <w:ind w:left="0"/>
        <w:jc w:val="both"/>
      </w:pPr>
      <w:r>
        <w:rPr>
          <w:rFonts w:ascii="Times New Roman"/>
          <w:b w:val="false"/>
          <w:i w:val="false"/>
          <w:color w:val="000000"/>
          <w:sz w:val="28"/>
        </w:rPr>
        <w:t>
      На 1 января 2021 года в Средигорненском сельском округе насчитывается крупного рогатого скота 1702 головы, из них маточное (дойное) поголовье 771 голова, мелкого рогатого скота 1416 голов, лошадей 365 голов, (</w:t>
      </w:r>
      <w:r>
        <w:rPr>
          <w:rFonts w:ascii="Times New Roman"/>
          <w:b w:val="false"/>
          <w:i w:val="false"/>
          <w:color w:val="000000"/>
          <w:sz w:val="28"/>
        </w:rPr>
        <w:t>таблица № 1</w:t>
      </w:r>
      <w:r>
        <w:rPr>
          <w:rFonts w:ascii="Times New Roman"/>
          <w:b w:val="false"/>
          <w:i w:val="false"/>
          <w:color w:val="000000"/>
          <w:sz w:val="28"/>
        </w:rPr>
        <w:t>) из них:</w:t>
      </w:r>
    </w:p>
    <w:bookmarkEnd w:id="26"/>
    <w:bookmarkStart w:name="z34" w:id="27"/>
    <w:p>
      <w:pPr>
        <w:spacing w:after="0"/>
        <w:ind w:left="0"/>
        <w:jc w:val="both"/>
      </w:pPr>
      <w:r>
        <w:rPr>
          <w:rFonts w:ascii="Times New Roman"/>
          <w:b w:val="false"/>
          <w:i w:val="false"/>
          <w:color w:val="000000"/>
          <w:sz w:val="28"/>
        </w:rPr>
        <w:t>
      в селе Средигорное:</w:t>
      </w:r>
    </w:p>
    <w:bookmarkEnd w:id="27"/>
    <w:bookmarkStart w:name="z35" w:id="28"/>
    <w:p>
      <w:pPr>
        <w:spacing w:after="0"/>
        <w:ind w:left="0"/>
        <w:jc w:val="both"/>
      </w:pPr>
      <w:r>
        <w:rPr>
          <w:rFonts w:ascii="Times New Roman"/>
          <w:b w:val="false"/>
          <w:i w:val="false"/>
          <w:color w:val="000000"/>
          <w:sz w:val="28"/>
        </w:rPr>
        <w:t xml:space="preserve">
      крупного рогатого скота 1252 головы, из них маточное (дойное) поголовье 603 головы, мелкого рогатого скота 945 голов, лошадей - 166 голов. </w:t>
      </w:r>
    </w:p>
    <w:bookmarkEnd w:id="28"/>
    <w:bookmarkStart w:name="z36" w:id="29"/>
    <w:p>
      <w:pPr>
        <w:spacing w:after="0"/>
        <w:ind w:left="0"/>
        <w:jc w:val="both"/>
      </w:pPr>
      <w:r>
        <w:rPr>
          <w:rFonts w:ascii="Times New Roman"/>
          <w:b w:val="false"/>
          <w:i w:val="false"/>
          <w:color w:val="000000"/>
          <w:sz w:val="28"/>
        </w:rPr>
        <w:t>
      Площадь пастбищ составляет 2980 га.</w:t>
      </w:r>
    </w:p>
    <w:bookmarkEnd w:id="29"/>
    <w:bookmarkStart w:name="z37" w:id="30"/>
    <w:p>
      <w:pPr>
        <w:spacing w:after="0"/>
        <w:ind w:left="0"/>
        <w:jc w:val="both"/>
      </w:pPr>
      <w:r>
        <w:rPr>
          <w:rFonts w:ascii="Times New Roman"/>
          <w:b w:val="false"/>
          <w:i w:val="false"/>
          <w:color w:val="000000"/>
          <w:sz w:val="28"/>
        </w:rPr>
        <w:t>
      в селе Чиркаин:</w:t>
      </w:r>
    </w:p>
    <w:bookmarkEnd w:id="30"/>
    <w:bookmarkStart w:name="z38" w:id="31"/>
    <w:p>
      <w:pPr>
        <w:spacing w:after="0"/>
        <w:ind w:left="0"/>
        <w:jc w:val="both"/>
      </w:pPr>
      <w:r>
        <w:rPr>
          <w:rFonts w:ascii="Times New Roman"/>
          <w:b w:val="false"/>
          <w:i w:val="false"/>
          <w:color w:val="000000"/>
          <w:sz w:val="28"/>
        </w:rPr>
        <w:t xml:space="preserve">
      крупного рогатого скота 249 голов, из них маточное (дойное) поголовье 82 головы, мелкого рогатого скота 349 голов, лошадей - 119 голов. </w:t>
      </w:r>
    </w:p>
    <w:bookmarkEnd w:id="31"/>
    <w:bookmarkStart w:name="z39" w:id="32"/>
    <w:p>
      <w:pPr>
        <w:spacing w:after="0"/>
        <w:ind w:left="0"/>
        <w:jc w:val="both"/>
      </w:pPr>
      <w:r>
        <w:rPr>
          <w:rFonts w:ascii="Times New Roman"/>
          <w:b w:val="false"/>
          <w:i w:val="false"/>
          <w:color w:val="000000"/>
          <w:sz w:val="28"/>
        </w:rPr>
        <w:t>
      Площадь пастбищ составляет 1700 га.</w:t>
      </w:r>
    </w:p>
    <w:bookmarkEnd w:id="32"/>
    <w:bookmarkStart w:name="z40" w:id="33"/>
    <w:p>
      <w:pPr>
        <w:spacing w:after="0"/>
        <w:ind w:left="0"/>
        <w:jc w:val="both"/>
      </w:pPr>
      <w:r>
        <w:rPr>
          <w:rFonts w:ascii="Times New Roman"/>
          <w:b w:val="false"/>
          <w:i w:val="false"/>
          <w:color w:val="000000"/>
          <w:sz w:val="28"/>
        </w:rPr>
        <w:t>
      в селе Андреевка:</w:t>
      </w:r>
    </w:p>
    <w:bookmarkEnd w:id="33"/>
    <w:bookmarkStart w:name="z41" w:id="34"/>
    <w:p>
      <w:pPr>
        <w:spacing w:after="0"/>
        <w:ind w:left="0"/>
        <w:jc w:val="both"/>
      </w:pPr>
      <w:r>
        <w:rPr>
          <w:rFonts w:ascii="Times New Roman"/>
          <w:b w:val="false"/>
          <w:i w:val="false"/>
          <w:color w:val="000000"/>
          <w:sz w:val="28"/>
        </w:rPr>
        <w:t>
      крупного рогатого скота 74 головы, из них маточное (дойное) поголовье 38 голов, мелкого рогатого скота 75 голов, лошадей – 12 голов.</w:t>
      </w:r>
    </w:p>
    <w:bookmarkEnd w:id="34"/>
    <w:bookmarkStart w:name="z42" w:id="35"/>
    <w:p>
      <w:pPr>
        <w:spacing w:after="0"/>
        <w:ind w:left="0"/>
        <w:jc w:val="both"/>
      </w:pPr>
      <w:r>
        <w:rPr>
          <w:rFonts w:ascii="Times New Roman"/>
          <w:b w:val="false"/>
          <w:i w:val="false"/>
          <w:color w:val="000000"/>
          <w:sz w:val="28"/>
        </w:rPr>
        <w:t>
      Площадь пастбищ составляет 930 га.</w:t>
      </w:r>
    </w:p>
    <w:bookmarkEnd w:id="35"/>
    <w:bookmarkStart w:name="z43" w:id="36"/>
    <w:p>
      <w:pPr>
        <w:spacing w:after="0"/>
        <w:ind w:left="0"/>
        <w:jc w:val="both"/>
      </w:pPr>
      <w:r>
        <w:rPr>
          <w:rFonts w:ascii="Times New Roman"/>
          <w:b w:val="false"/>
          <w:i w:val="false"/>
          <w:color w:val="000000"/>
          <w:sz w:val="28"/>
        </w:rPr>
        <w:t>
      в селе Александровка:</w:t>
      </w:r>
    </w:p>
    <w:bookmarkEnd w:id="36"/>
    <w:bookmarkStart w:name="z44" w:id="37"/>
    <w:p>
      <w:pPr>
        <w:spacing w:after="0"/>
        <w:ind w:left="0"/>
        <w:jc w:val="both"/>
      </w:pPr>
      <w:r>
        <w:rPr>
          <w:rFonts w:ascii="Times New Roman"/>
          <w:b w:val="false"/>
          <w:i w:val="false"/>
          <w:color w:val="000000"/>
          <w:sz w:val="28"/>
        </w:rPr>
        <w:t>
      крупного рогатого скота 127 голов, из них маточное (дойное) поголовье 48 голов, мелкого рогатого скота 47 голов, лошадей – 68 голов.</w:t>
      </w:r>
    </w:p>
    <w:bookmarkEnd w:id="37"/>
    <w:bookmarkStart w:name="z45" w:id="38"/>
    <w:p>
      <w:pPr>
        <w:spacing w:after="0"/>
        <w:ind w:left="0"/>
        <w:jc w:val="both"/>
      </w:pPr>
      <w:r>
        <w:rPr>
          <w:rFonts w:ascii="Times New Roman"/>
          <w:b w:val="false"/>
          <w:i w:val="false"/>
          <w:color w:val="000000"/>
          <w:sz w:val="28"/>
        </w:rPr>
        <w:t>
      Площадь пастбищ составляет 1377 га.</w:t>
      </w:r>
    </w:p>
    <w:bookmarkEnd w:id="38"/>
    <w:bookmarkStart w:name="z46" w:id="39"/>
    <w:p>
      <w:pPr>
        <w:spacing w:after="0"/>
        <w:ind w:left="0"/>
        <w:jc w:val="left"/>
      </w:pPr>
      <w:r>
        <w:rPr>
          <w:rFonts w:ascii="Times New Roman"/>
          <w:b/>
          <w:i w:val="false"/>
          <w:color w:val="000000"/>
        </w:rPr>
        <w:t xml:space="preserve"> Данные о численности поголовья сельскохозяйственных животных по Средигорненскому сельскому округу</w:t>
      </w:r>
    </w:p>
    <w:bookmarkEnd w:id="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 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Населенные пункты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Население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Сельскохозяйственные формирования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Крупный рогатый скот</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Мелкий рогатый скот</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Крупный рогатый скот</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Мелкий рогатый скот</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Крупный рогатый скот</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Мелкий рогатый скот</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дойные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дойные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дойные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Средигорное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Чиркаин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Андреевка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Александровка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r>
    </w:tbl>
    <w:bookmarkStart w:name="z48" w:id="40"/>
    <w:p>
      <w:pPr>
        <w:spacing w:after="0"/>
        <w:ind w:left="0"/>
        <w:jc w:val="both"/>
      </w:pPr>
      <w:r>
        <w:rPr>
          <w:rFonts w:ascii="Times New Roman"/>
          <w:b w:val="false"/>
          <w:i w:val="false"/>
          <w:color w:val="000000"/>
          <w:sz w:val="28"/>
        </w:rPr>
        <w:t>
      Для обеспечения сельскохозяйственных животных по Средигорненскому сельскому округу, имеются всего 33978 га пастбищных угодий, в черте населенных пунктов числится 6987 га пастбищ.</w:t>
      </w:r>
    </w:p>
    <w:bookmarkEnd w:id="40"/>
    <w:bookmarkStart w:name="z49" w:id="41"/>
    <w:p>
      <w:pPr>
        <w:spacing w:after="0"/>
        <w:ind w:left="0"/>
        <w:jc w:val="both"/>
      </w:pPr>
      <w:r>
        <w:rPr>
          <w:rFonts w:ascii="Times New Roman"/>
          <w:b w:val="false"/>
          <w:i w:val="false"/>
          <w:color w:val="000000"/>
          <w:sz w:val="28"/>
        </w:rPr>
        <w:t xml:space="preserve">
      На основании вышеизложенного, согласно </w:t>
      </w:r>
      <w:r>
        <w:rPr>
          <w:rFonts w:ascii="Times New Roman"/>
          <w:b w:val="false"/>
          <w:i w:val="false"/>
          <w:color w:val="000000"/>
          <w:sz w:val="28"/>
        </w:rPr>
        <w:t>статьи 15</w:t>
      </w:r>
      <w:r>
        <w:rPr>
          <w:rFonts w:ascii="Times New Roman"/>
          <w:b w:val="false"/>
          <w:i w:val="false"/>
          <w:color w:val="000000"/>
          <w:sz w:val="28"/>
        </w:rPr>
        <w:t xml:space="preserve"> Закона Республики Казахстан от 20 февраля 2017 года "О пастбищах" для нужд местного населения (село Средигорное, село Чиркаин, село Андреевка, село Александровка) по содержанию маточного (дойного) поголовья сельскохозяйственных животных при имеющихся пастбищных угодьях населенных пунктов в размере 6987 га, потребность составляет 801 га (</w:t>
      </w:r>
      <w:r>
        <w:rPr>
          <w:rFonts w:ascii="Times New Roman"/>
          <w:b w:val="false"/>
          <w:i w:val="false"/>
          <w:color w:val="000000"/>
          <w:sz w:val="28"/>
        </w:rPr>
        <w:t>таблица № 2</w:t>
      </w:r>
      <w:r>
        <w:rPr>
          <w:rFonts w:ascii="Times New Roman"/>
          <w:b w:val="false"/>
          <w:i w:val="false"/>
          <w:color w:val="000000"/>
          <w:sz w:val="28"/>
        </w:rPr>
        <w:t xml:space="preserve">). </w:t>
      </w:r>
    </w:p>
    <w:bookmarkEnd w:id="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Населенный пункт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пастбищ (га)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дойных коров (голов)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потребности пастбищна 1 голову, (га)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Потребность пастбищ (га)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обеспечено пастбищами (га)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Излишки(га)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Средигорное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Чиркаин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Андреевка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Александровка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6186</w:t>
            </w:r>
          </w:p>
        </w:tc>
      </w:tr>
    </w:tbl>
    <w:bookmarkStart w:name="z51" w:id="42"/>
    <w:p>
      <w:pPr>
        <w:spacing w:after="0"/>
        <w:ind w:left="0"/>
        <w:jc w:val="both"/>
      </w:pPr>
      <w:r>
        <w:rPr>
          <w:rFonts w:ascii="Times New Roman"/>
          <w:b w:val="false"/>
          <w:i w:val="false"/>
          <w:color w:val="000000"/>
          <w:sz w:val="28"/>
        </w:rPr>
        <w:t>
      Выпас других сельскохозяйственных животных местного населения при норме нагрузки на голову: крупный рогатый скот – 3 га, мелкий рогатый скот – 0,5 га, лошадей – 5 га, также производится в черте населенных пунктов (</w:t>
      </w:r>
      <w:r>
        <w:rPr>
          <w:rFonts w:ascii="Times New Roman"/>
          <w:b w:val="false"/>
          <w:i w:val="false"/>
          <w:color w:val="000000"/>
          <w:sz w:val="28"/>
        </w:rPr>
        <w:t>таблица № 3</w:t>
      </w:r>
      <w:r>
        <w:rPr>
          <w:rFonts w:ascii="Times New Roman"/>
          <w:b w:val="false"/>
          <w:i w:val="false"/>
          <w:color w:val="000000"/>
          <w:sz w:val="28"/>
        </w:rPr>
        <w:t>).</w:t>
      </w:r>
    </w:p>
    <w:bookmarkEnd w:id="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 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Населенные пункты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население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потребности пастбищ на 1 гол., (га)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Потребность пастбищ,(га)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Крупный рогатый скот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Мелкий рогатый скот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Крупный рогатый скот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Мелкий рогатый скот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Крупный рога тый скот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Мелкий рогатый скот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(га)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Средигорное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Чиркаин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Андреевка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Александровка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3616</w:t>
            </w:r>
          </w:p>
        </w:tc>
      </w:tr>
    </w:tbl>
    <w:p>
      <w:pPr>
        <w:spacing w:after="0"/>
        <w:ind w:left="0"/>
        <w:jc w:val="left"/>
      </w:pPr>
      <w:r>
        <w:br/>
      </w:r>
      <w:r>
        <w:rPr>
          <w:rFonts w:ascii="Times New Roman"/>
          <w:b w:val="false"/>
          <w:i w:val="false"/>
          <w:color w:val="000000"/>
          <w:sz w:val="28"/>
        </w:rPr>
        <w:t>
</w:t>
      </w:r>
    </w:p>
    <w:bookmarkStart w:name="z53" w:id="43"/>
    <w:p>
      <w:pPr>
        <w:spacing w:after="0"/>
        <w:ind w:left="0"/>
        <w:jc w:val="both"/>
      </w:pPr>
      <w:r>
        <w:rPr>
          <w:rFonts w:ascii="Times New Roman"/>
          <w:b w:val="false"/>
          <w:i w:val="false"/>
          <w:color w:val="000000"/>
          <w:sz w:val="28"/>
        </w:rPr>
        <w:t>
      Для выпаса скота местного населения села Средигорное организовано 2 гурта: 1 гурт - севернее села Средигорное водопой - речка Березовка, ручьи; 2 гурт - восточнее села Средигорное, водопой - ручьи.</w:t>
      </w:r>
    </w:p>
    <w:bookmarkEnd w:id="43"/>
    <w:bookmarkStart w:name="z54" w:id="44"/>
    <w:p>
      <w:pPr>
        <w:spacing w:after="0"/>
        <w:ind w:left="0"/>
        <w:jc w:val="both"/>
      </w:pPr>
      <w:r>
        <w:rPr>
          <w:rFonts w:ascii="Times New Roman"/>
          <w:b w:val="false"/>
          <w:i w:val="false"/>
          <w:color w:val="000000"/>
          <w:sz w:val="28"/>
        </w:rPr>
        <w:t>
      Для выпаса скота населения села Чиркаин организовано 2 гурта: 1 гурт – юго-восточнее села Чиркаин, водопой - ручей Первый ключ; 2 гурт – юго-восточнее села Чиркаин, водопой - речка Чириккаин, ручьи.</w:t>
      </w:r>
    </w:p>
    <w:bookmarkEnd w:id="44"/>
    <w:bookmarkStart w:name="z55" w:id="45"/>
    <w:p>
      <w:pPr>
        <w:spacing w:after="0"/>
        <w:ind w:left="0"/>
        <w:jc w:val="both"/>
      </w:pPr>
      <w:r>
        <w:rPr>
          <w:rFonts w:ascii="Times New Roman"/>
          <w:b w:val="false"/>
          <w:i w:val="false"/>
          <w:color w:val="000000"/>
          <w:sz w:val="28"/>
        </w:rPr>
        <w:t>
      Для выпаса скота населения села Андреевка организован 1 гурт - северо-восточнее села Андреевка, водопой- ручьи.</w:t>
      </w:r>
    </w:p>
    <w:bookmarkEnd w:id="45"/>
    <w:bookmarkStart w:name="z56" w:id="46"/>
    <w:p>
      <w:pPr>
        <w:spacing w:after="0"/>
        <w:ind w:left="0"/>
        <w:jc w:val="both"/>
      </w:pPr>
      <w:r>
        <w:rPr>
          <w:rFonts w:ascii="Times New Roman"/>
          <w:b w:val="false"/>
          <w:i w:val="false"/>
          <w:color w:val="000000"/>
          <w:sz w:val="28"/>
        </w:rPr>
        <w:t>
      Для выпаса скота населения села Александровка организован 1 гурт - северо-восточнее села Александровка, водопой- ручей Кочки, ручьи.</w:t>
      </w:r>
    </w:p>
    <w:bookmarkEnd w:id="46"/>
    <w:bookmarkStart w:name="z57" w:id="47"/>
    <w:p>
      <w:pPr>
        <w:spacing w:after="0"/>
        <w:ind w:left="0"/>
        <w:jc w:val="both"/>
      </w:pPr>
      <w:r>
        <w:rPr>
          <w:rFonts w:ascii="Times New Roman"/>
          <w:b w:val="false"/>
          <w:i w:val="false"/>
          <w:color w:val="000000"/>
          <w:sz w:val="28"/>
        </w:rPr>
        <w:t>
      Поголовье в товариществах с ограниченной ответственностью (далее -ТОО), крестьянских и фермерских хозяйствах Средигорненского сельского округа составляет: крупного рогатого скота 963 головы, мелкого рогатого скота 20 голов, лошадей 65 голов.</w:t>
      </w:r>
    </w:p>
    <w:bookmarkEnd w:id="47"/>
    <w:bookmarkStart w:name="z58" w:id="48"/>
    <w:p>
      <w:pPr>
        <w:spacing w:after="0"/>
        <w:ind w:left="0"/>
        <w:jc w:val="both"/>
      </w:pPr>
      <w:r>
        <w:rPr>
          <w:rFonts w:ascii="Times New Roman"/>
          <w:b w:val="false"/>
          <w:i w:val="false"/>
          <w:color w:val="000000"/>
          <w:sz w:val="28"/>
        </w:rPr>
        <w:t>
      Площадь пастбищ ТОО, крестьянских и фермерских хозяйств составляет 3231 га (</w:t>
      </w:r>
      <w:r>
        <w:rPr>
          <w:rFonts w:ascii="Times New Roman"/>
          <w:b w:val="false"/>
          <w:i w:val="false"/>
          <w:color w:val="000000"/>
          <w:sz w:val="28"/>
        </w:rPr>
        <w:t>таблица № 4</w:t>
      </w:r>
      <w:r>
        <w:rPr>
          <w:rFonts w:ascii="Times New Roman"/>
          <w:b w:val="false"/>
          <w:i w:val="false"/>
          <w:color w:val="000000"/>
          <w:sz w:val="28"/>
        </w:rPr>
        <w:t>).</w:t>
      </w:r>
    </w:p>
    <w:bookmarkEnd w:id="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 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землепользователи</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(га)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скота по видам, (гол)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потребности пастбищ на 1 гол., (га)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Потребность пастбищ,(га)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Крупный рогатый скот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Мелкий рогатый скот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Крупный рогатый скот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Мелкий рогатый скот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Крупный рогатый скот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Мелкий рогатый скот</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Лошади</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(га)</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"Средигорненский"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"Южаков"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Производственный кооператив "СПК "Ангибаева"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"Жамбурбаев 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3224</w:t>
            </w:r>
          </w:p>
        </w:tc>
      </w:tr>
    </w:tbl>
    <w:bookmarkStart w:name="z60" w:id="49"/>
    <w:p>
      <w:pPr>
        <w:spacing w:after="0"/>
        <w:ind w:left="0"/>
        <w:jc w:val="both"/>
      </w:pPr>
      <w:r>
        <w:rPr>
          <w:rFonts w:ascii="Times New Roman"/>
          <w:b w:val="false"/>
          <w:i w:val="false"/>
          <w:color w:val="000000"/>
          <w:sz w:val="28"/>
        </w:rPr>
        <w:t>
      Сложившуюся потребность пастбищных угодий ТОО "Средигорненский" в размере 90 га необходимо восполнить за счет выпаса сельскохозяйственных животных на землях населенного пункта.</w:t>
      </w:r>
    </w:p>
    <w:bookmarkEnd w:id="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к Плану </w:t>
            </w:r>
            <w:r>
              <w:br/>
            </w:r>
            <w:r>
              <w:rPr>
                <w:rFonts w:ascii="Times New Roman"/>
                <w:b w:val="false"/>
                <w:i w:val="false"/>
                <w:color w:val="000000"/>
                <w:sz w:val="20"/>
              </w:rPr>
              <w:t xml:space="preserve">по управлению пастбищами и их </w:t>
            </w:r>
            <w:r>
              <w:br/>
            </w:r>
            <w:r>
              <w:rPr>
                <w:rFonts w:ascii="Times New Roman"/>
                <w:b w:val="false"/>
                <w:i w:val="false"/>
                <w:color w:val="000000"/>
                <w:sz w:val="20"/>
              </w:rPr>
              <w:t xml:space="preserve">использованию в Средигорненском </w:t>
            </w:r>
            <w:r>
              <w:br/>
            </w:r>
            <w:r>
              <w:rPr>
                <w:rFonts w:ascii="Times New Roman"/>
                <w:b w:val="false"/>
                <w:i w:val="false"/>
                <w:color w:val="000000"/>
                <w:sz w:val="20"/>
              </w:rPr>
              <w:t xml:space="preserve">сельском округе района Алтай </w:t>
            </w:r>
            <w:r>
              <w:br/>
            </w:r>
            <w:r>
              <w:rPr>
                <w:rFonts w:ascii="Times New Roman"/>
                <w:b w:val="false"/>
                <w:i w:val="false"/>
                <w:color w:val="000000"/>
                <w:sz w:val="20"/>
              </w:rPr>
              <w:t>на 2022-2023 годы</w:t>
            </w:r>
          </w:p>
        </w:tc>
      </w:tr>
    </w:tbl>
    <w:bookmarkStart w:name="z62" w:id="50"/>
    <w:p>
      <w:pPr>
        <w:spacing w:after="0"/>
        <w:ind w:left="0"/>
        <w:jc w:val="left"/>
      </w:pPr>
      <w:r>
        <w:rPr>
          <w:rFonts w:ascii="Times New Roman"/>
          <w:b/>
          <w:i w:val="false"/>
          <w:color w:val="000000"/>
        </w:rPr>
        <w:t xml:space="preserve"> Схема (карта) расположения пастбищ на территории Средигорненского сельского округа района Алтай в разрезе категорий земель, собственников земельных участков и землепользователей на основании правоустанавливающих документов</w:t>
      </w:r>
    </w:p>
    <w:bookmarkEnd w:id="50"/>
    <w:p>
      <w:pPr>
        <w:spacing w:after="0"/>
        <w:ind w:left="0"/>
        <w:jc w:val="left"/>
      </w:pPr>
      <w:r>
        <w:br/>
      </w:r>
    </w:p>
    <w:p>
      <w:pPr>
        <w:spacing w:after="0"/>
        <w:ind w:left="0"/>
        <w:jc w:val="both"/>
      </w:pPr>
      <w:r>
        <w:drawing>
          <wp:inline distT="0" distB="0" distL="0" distR="0">
            <wp:extent cx="7810500" cy="6184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6184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3" w:id="51"/>
    <w:p>
      <w:pPr>
        <w:spacing w:after="0"/>
        <w:ind w:left="0"/>
        <w:jc w:val="left"/>
      </w:pPr>
      <w:r>
        <w:rPr>
          <w:rFonts w:ascii="Times New Roman"/>
          <w:b/>
          <w:i w:val="false"/>
          <w:color w:val="000000"/>
        </w:rPr>
        <w:t xml:space="preserve"> Условные обозначения:</w:t>
      </w:r>
    </w:p>
    <w:bookmarkEnd w:id="51"/>
    <w:p>
      <w:pPr>
        <w:spacing w:after="0"/>
        <w:ind w:left="0"/>
        <w:jc w:val="left"/>
      </w:pPr>
      <w:r>
        <w:br/>
      </w:r>
    </w:p>
    <w:p>
      <w:pPr>
        <w:spacing w:after="0"/>
        <w:ind w:left="0"/>
        <w:jc w:val="both"/>
      </w:pPr>
      <w:r>
        <w:drawing>
          <wp:inline distT="0" distB="0" distL="0" distR="0">
            <wp:extent cx="7810500" cy="144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1447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к Плану </w:t>
            </w:r>
            <w:r>
              <w:br/>
            </w:r>
            <w:r>
              <w:rPr>
                <w:rFonts w:ascii="Times New Roman"/>
                <w:b w:val="false"/>
                <w:i w:val="false"/>
                <w:color w:val="000000"/>
                <w:sz w:val="20"/>
              </w:rPr>
              <w:t xml:space="preserve">по управлению пастбищами и их </w:t>
            </w:r>
            <w:r>
              <w:br/>
            </w:r>
            <w:r>
              <w:rPr>
                <w:rFonts w:ascii="Times New Roman"/>
                <w:b w:val="false"/>
                <w:i w:val="false"/>
                <w:color w:val="000000"/>
                <w:sz w:val="20"/>
              </w:rPr>
              <w:t xml:space="preserve">использованию в Средигорненском </w:t>
            </w:r>
            <w:r>
              <w:br/>
            </w:r>
            <w:r>
              <w:rPr>
                <w:rFonts w:ascii="Times New Roman"/>
                <w:b w:val="false"/>
                <w:i w:val="false"/>
                <w:color w:val="000000"/>
                <w:sz w:val="20"/>
              </w:rPr>
              <w:t xml:space="preserve">сельском округе района Алтай </w:t>
            </w:r>
            <w:r>
              <w:br/>
            </w:r>
            <w:r>
              <w:rPr>
                <w:rFonts w:ascii="Times New Roman"/>
                <w:b w:val="false"/>
                <w:i w:val="false"/>
                <w:color w:val="000000"/>
                <w:sz w:val="20"/>
              </w:rPr>
              <w:t>на 2022-2023 годы</w:t>
            </w:r>
          </w:p>
        </w:tc>
      </w:tr>
    </w:tbl>
    <w:bookmarkStart w:name="z65" w:id="52"/>
    <w:p>
      <w:pPr>
        <w:spacing w:after="0"/>
        <w:ind w:left="0"/>
        <w:jc w:val="left"/>
      </w:pPr>
      <w:r>
        <w:rPr>
          <w:rFonts w:ascii="Times New Roman"/>
          <w:b/>
          <w:i w:val="false"/>
          <w:color w:val="000000"/>
        </w:rPr>
        <w:t xml:space="preserve"> Приемлемые схемы пастбищеоборотов</w:t>
      </w:r>
    </w:p>
    <w:bookmarkEnd w:id="52"/>
    <w:bookmarkStart w:name="z66" w:id="53"/>
    <w:p>
      <w:pPr>
        <w:spacing w:after="0"/>
        <w:ind w:left="0"/>
        <w:jc w:val="both"/>
      </w:pPr>
      <w:r>
        <w:rPr>
          <w:rFonts w:ascii="Times New Roman"/>
          <w:b w:val="false"/>
          <w:i w:val="false"/>
          <w:color w:val="000000"/>
          <w:sz w:val="28"/>
        </w:rPr>
        <w:t>
      Схема четырехпольного пастбищеоборота для одного гурта (табуна)</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участки</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отдых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(В-Л-О) весна-лето-осень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к Плану </w:t>
            </w:r>
            <w:r>
              <w:br/>
            </w:r>
            <w:r>
              <w:rPr>
                <w:rFonts w:ascii="Times New Roman"/>
                <w:b w:val="false"/>
                <w:i w:val="false"/>
                <w:color w:val="000000"/>
                <w:sz w:val="20"/>
              </w:rPr>
              <w:t xml:space="preserve">по управлению пастбищами и их </w:t>
            </w:r>
            <w:r>
              <w:br/>
            </w:r>
            <w:r>
              <w:rPr>
                <w:rFonts w:ascii="Times New Roman"/>
                <w:b w:val="false"/>
                <w:i w:val="false"/>
                <w:color w:val="000000"/>
                <w:sz w:val="20"/>
              </w:rPr>
              <w:t xml:space="preserve">использованию в Средигорненском </w:t>
            </w:r>
            <w:r>
              <w:br/>
            </w:r>
            <w:r>
              <w:rPr>
                <w:rFonts w:ascii="Times New Roman"/>
                <w:b w:val="false"/>
                <w:i w:val="false"/>
                <w:color w:val="000000"/>
                <w:sz w:val="20"/>
              </w:rPr>
              <w:t xml:space="preserve">сельском округе района Алтай </w:t>
            </w:r>
            <w:r>
              <w:br/>
            </w:r>
            <w:r>
              <w:rPr>
                <w:rFonts w:ascii="Times New Roman"/>
                <w:b w:val="false"/>
                <w:i w:val="false"/>
                <w:color w:val="000000"/>
                <w:sz w:val="20"/>
              </w:rPr>
              <w:t>на 2022-2023 годы</w:t>
            </w:r>
          </w:p>
        </w:tc>
      </w:tr>
    </w:tbl>
    <w:bookmarkStart w:name="z68" w:id="54"/>
    <w:p>
      <w:pPr>
        <w:spacing w:after="0"/>
        <w:ind w:left="0"/>
        <w:jc w:val="left"/>
      </w:pPr>
      <w:r>
        <w:rPr>
          <w:rFonts w:ascii="Times New Roman"/>
          <w:b/>
          <w:i w:val="false"/>
          <w:color w:val="000000"/>
        </w:rPr>
        <w:t xml:space="preserve"> Карта с обозначением внешних и внутренних границ и площадей пастбищ, в том числе сезонных, объектов пастбищной инфраструктуры</w:t>
      </w:r>
    </w:p>
    <w:bookmarkEnd w:id="54"/>
    <w:p>
      <w:pPr>
        <w:spacing w:after="0"/>
        <w:ind w:left="0"/>
        <w:jc w:val="left"/>
      </w:pPr>
      <w:r>
        <w:br/>
      </w:r>
    </w:p>
    <w:p>
      <w:pPr>
        <w:spacing w:after="0"/>
        <w:ind w:left="0"/>
        <w:jc w:val="both"/>
      </w:pPr>
      <w:r>
        <w:drawing>
          <wp:inline distT="0" distB="0" distL="0" distR="0">
            <wp:extent cx="7810500" cy="6184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6184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9" w:id="55"/>
    <w:p>
      <w:pPr>
        <w:spacing w:after="0"/>
        <w:ind w:left="0"/>
        <w:jc w:val="left"/>
      </w:pPr>
      <w:r>
        <w:rPr>
          <w:rFonts w:ascii="Times New Roman"/>
          <w:b/>
          <w:i w:val="false"/>
          <w:color w:val="000000"/>
        </w:rPr>
        <w:t xml:space="preserve"> Условные обозначения:</w:t>
      </w:r>
    </w:p>
    <w:bookmarkEnd w:id="55"/>
    <w:p>
      <w:pPr>
        <w:spacing w:after="0"/>
        <w:ind w:left="0"/>
        <w:jc w:val="left"/>
      </w:pPr>
      <w:r>
        <w:br/>
      </w:r>
    </w:p>
    <w:p>
      <w:pPr>
        <w:spacing w:after="0"/>
        <w:ind w:left="0"/>
        <w:jc w:val="both"/>
      </w:pPr>
      <w:r>
        <w:drawing>
          <wp:inline distT="0" distB="0" distL="0" distR="0">
            <wp:extent cx="7810500" cy="203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2032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4 к Плану </w:t>
            </w:r>
            <w:r>
              <w:br/>
            </w:r>
            <w:r>
              <w:rPr>
                <w:rFonts w:ascii="Times New Roman"/>
                <w:b w:val="false"/>
                <w:i w:val="false"/>
                <w:color w:val="000000"/>
                <w:sz w:val="20"/>
              </w:rPr>
              <w:t xml:space="preserve">по управлению пастбищами и их </w:t>
            </w:r>
            <w:r>
              <w:br/>
            </w:r>
            <w:r>
              <w:rPr>
                <w:rFonts w:ascii="Times New Roman"/>
                <w:b w:val="false"/>
                <w:i w:val="false"/>
                <w:color w:val="000000"/>
                <w:sz w:val="20"/>
              </w:rPr>
              <w:t xml:space="preserve">использованию в Средигорненском </w:t>
            </w:r>
            <w:r>
              <w:br/>
            </w:r>
            <w:r>
              <w:rPr>
                <w:rFonts w:ascii="Times New Roman"/>
                <w:b w:val="false"/>
                <w:i w:val="false"/>
                <w:color w:val="000000"/>
                <w:sz w:val="20"/>
              </w:rPr>
              <w:t xml:space="preserve">сельском округе район Алтай </w:t>
            </w:r>
            <w:r>
              <w:br/>
            </w:r>
            <w:r>
              <w:rPr>
                <w:rFonts w:ascii="Times New Roman"/>
                <w:b w:val="false"/>
                <w:i w:val="false"/>
                <w:color w:val="000000"/>
                <w:sz w:val="20"/>
              </w:rPr>
              <w:t>на 2022-2023 годы</w:t>
            </w:r>
          </w:p>
        </w:tc>
      </w:tr>
    </w:tbl>
    <w:bookmarkStart w:name="z72" w:id="56"/>
    <w:p>
      <w:pPr>
        <w:spacing w:after="0"/>
        <w:ind w:left="0"/>
        <w:jc w:val="left"/>
      </w:pPr>
      <w:r>
        <w:rPr>
          <w:rFonts w:ascii="Times New Roman"/>
          <w:b/>
          <w:i w:val="false"/>
          <w:color w:val="000000"/>
        </w:rPr>
        <w:t xml:space="preserve"> Схема доступа пастбищепользователей к водоисточникам (озерам, рекам, прудам, копаням, оросительным или обводнительным каналам, трубчатым или шахтным колодцам), составленную согласно норме потребления воды </w:t>
      </w:r>
    </w:p>
    <w:bookmarkEnd w:id="56"/>
    <w:p>
      <w:pPr>
        <w:spacing w:after="0"/>
        <w:ind w:left="0"/>
        <w:jc w:val="left"/>
      </w:pPr>
      <w:r>
        <w:br/>
      </w:r>
    </w:p>
    <w:p>
      <w:pPr>
        <w:spacing w:after="0"/>
        <w:ind w:left="0"/>
        <w:jc w:val="both"/>
      </w:pPr>
      <w:r>
        <w:drawing>
          <wp:inline distT="0" distB="0" distL="0" distR="0">
            <wp:extent cx="7810500" cy="562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5626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3" w:id="57"/>
    <w:p>
      <w:pPr>
        <w:spacing w:after="0"/>
        <w:ind w:left="0"/>
        <w:jc w:val="left"/>
      </w:pPr>
      <w:r>
        <w:rPr>
          <w:rFonts w:ascii="Times New Roman"/>
          <w:b/>
          <w:i w:val="false"/>
          <w:color w:val="000000"/>
        </w:rPr>
        <w:t xml:space="preserve"> Условные обозначения:</w:t>
      </w:r>
    </w:p>
    <w:bookmarkEnd w:id="57"/>
    <w:p>
      <w:pPr>
        <w:spacing w:after="0"/>
        <w:ind w:left="0"/>
        <w:jc w:val="left"/>
      </w:pPr>
      <w:r>
        <w:br/>
      </w:r>
    </w:p>
    <w:p>
      <w:pPr>
        <w:spacing w:after="0"/>
        <w:ind w:left="0"/>
        <w:jc w:val="both"/>
      </w:pPr>
      <w:r>
        <w:drawing>
          <wp:inline distT="0" distB="0" distL="0" distR="0">
            <wp:extent cx="7810500" cy="1219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1219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5 к Плану </w:t>
            </w:r>
            <w:r>
              <w:br/>
            </w:r>
            <w:r>
              <w:rPr>
                <w:rFonts w:ascii="Times New Roman"/>
                <w:b w:val="false"/>
                <w:i w:val="false"/>
                <w:color w:val="000000"/>
                <w:sz w:val="20"/>
              </w:rPr>
              <w:t xml:space="preserve">по управлению пастбищами и их </w:t>
            </w:r>
            <w:r>
              <w:br/>
            </w:r>
            <w:r>
              <w:rPr>
                <w:rFonts w:ascii="Times New Roman"/>
                <w:b w:val="false"/>
                <w:i w:val="false"/>
                <w:color w:val="000000"/>
                <w:sz w:val="20"/>
              </w:rPr>
              <w:t xml:space="preserve">использованию в Средигорненском </w:t>
            </w:r>
            <w:r>
              <w:br/>
            </w:r>
            <w:r>
              <w:rPr>
                <w:rFonts w:ascii="Times New Roman"/>
                <w:b w:val="false"/>
                <w:i w:val="false"/>
                <w:color w:val="000000"/>
                <w:sz w:val="20"/>
              </w:rPr>
              <w:t xml:space="preserve">сельском округе района Алтай </w:t>
            </w:r>
            <w:r>
              <w:br/>
            </w:r>
            <w:r>
              <w:rPr>
                <w:rFonts w:ascii="Times New Roman"/>
                <w:b w:val="false"/>
                <w:i w:val="false"/>
                <w:color w:val="000000"/>
                <w:sz w:val="20"/>
              </w:rPr>
              <w:t>на 2022-2023 годы</w:t>
            </w:r>
          </w:p>
        </w:tc>
      </w:tr>
    </w:tbl>
    <w:bookmarkStart w:name="z75" w:id="58"/>
    <w:p>
      <w:pPr>
        <w:spacing w:after="0"/>
        <w:ind w:left="0"/>
        <w:jc w:val="left"/>
      </w:pPr>
      <w:r>
        <w:rPr>
          <w:rFonts w:ascii="Times New Roman"/>
          <w:b/>
          <w:i w:val="false"/>
          <w:color w:val="000000"/>
        </w:rPr>
        <w:t xml:space="preserve"> Схема перераспределения пастбищ для размещения поголовья сельскохозяйственных животных физических и юридических лиц, у которых отсутствуют пастбища, и перемещения его на предоставляемые пастбища</w:t>
      </w:r>
    </w:p>
    <w:bookmarkEnd w:id="58"/>
    <w:p>
      <w:pPr>
        <w:spacing w:after="0"/>
        <w:ind w:left="0"/>
        <w:jc w:val="left"/>
      </w:pPr>
      <w:r>
        <w:br/>
      </w:r>
    </w:p>
    <w:p>
      <w:pPr>
        <w:spacing w:after="0"/>
        <w:ind w:left="0"/>
        <w:jc w:val="both"/>
      </w:pPr>
      <w:r>
        <w:drawing>
          <wp:inline distT="0" distB="0" distL="0" distR="0">
            <wp:extent cx="7810500" cy="6159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6159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6" w:id="59"/>
    <w:p>
      <w:pPr>
        <w:spacing w:after="0"/>
        <w:ind w:left="0"/>
        <w:jc w:val="left"/>
      </w:pPr>
      <w:r>
        <w:rPr>
          <w:rFonts w:ascii="Times New Roman"/>
          <w:b/>
          <w:i w:val="false"/>
          <w:color w:val="000000"/>
        </w:rPr>
        <w:t xml:space="preserve"> Условные обозначения:</w:t>
      </w:r>
    </w:p>
    <w:bookmarkEnd w:id="59"/>
    <w:p>
      <w:pPr>
        <w:spacing w:after="0"/>
        <w:ind w:left="0"/>
        <w:jc w:val="left"/>
      </w:pPr>
      <w:r>
        <w:br/>
      </w:r>
    </w:p>
    <w:p>
      <w:pPr>
        <w:spacing w:after="0"/>
        <w:ind w:left="0"/>
        <w:jc w:val="both"/>
      </w:pPr>
      <w:r>
        <w:drawing>
          <wp:inline distT="0" distB="0" distL="0" distR="0">
            <wp:extent cx="7810500" cy="1143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1143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6 к Плану </w:t>
            </w:r>
            <w:r>
              <w:br/>
            </w:r>
            <w:r>
              <w:rPr>
                <w:rFonts w:ascii="Times New Roman"/>
                <w:b w:val="false"/>
                <w:i w:val="false"/>
                <w:color w:val="000000"/>
                <w:sz w:val="20"/>
              </w:rPr>
              <w:t xml:space="preserve">по управлению пастбищами и их </w:t>
            </w:r>
            <w:r>
              <w:br/>
            </w:r>
            <w:r>
              <w:rPr>
                <w:rFonts w:ascii="Times New Roman"/>
                <w:b w:val="false"/>
                <w:i w:val="false"/>
                <w:color w:val="000000"/>
                <w:sz w:val="20"/>
              </w:rPr>
              <w:t xml:space="preserve">использованию в Средигорненском </w:t>
            </w:r>
            <w:r>
              <w:br/>
            </w:r>
            <w:r>
              <w:rPr>
                <w:rFonts w:ascii="Times New Roman"/>
                <w:b w:val="false"/>
                <w:i w:val="false"/>
                <w:color w:val="000000"/>
                <w:sz w:val="20"/>
              </w:rPr>
              <w:t xml:space="preserve">сельском округе района Алтай </w:t>
            </w:r>
            <w:r>
              <w:br/>
            </w:r>
            <w:r>
              <w:rPr>
                <w:rFonts w:ascii="Times New Roman"/>
                <w:b w:val="false"/>
                <w:i w:val="false"/>
                <w:color w:val="000000"/>
                <w:sz w:val="20"/>
              </w:rPr>
              <w:t>на 2022-2023 годы</w:t>
            </w:r>
          </w:p>
        </w:tc>
      </w:tr>
    </w:tbl>
    <w:bookmarkStart w:name="z78" w:id="60"/>
    <w:p>
      <w:pPr>
        <w:spacing w:after="0"/>
        <w:ind w:left="0"/>
        <w:jc w:val="left"/>
      </w:pPr>
      <w:r>
        <w:rPr>
          <w:rFonts w:ascii="Times New Roman"/>
          <w:b/>
          <w:i w:val="false"/>
          <w:color w:val="000000"/>
        </w:rPr>
        <w:t xml:space="preserve"> Схема размещения поголовья сельскохозяйственных животных на отгонных пастбищах физических и (или) юридических лиц, не обеспеченных пастбищами, расположенными в Средигорненском сельском округе</w:t>
      </w:r>
    </w:p>
    <w:bookmarkEnd w:id="60"/>
    <w:p>
      <w:pPr>
        <w:spacing w:after="0"/>
        <w:ind w:left="0"/>
        <w:jc w:val="left"/>
      </w:pPr>
      <w:r>
        <w:br/>
      </w:r>
    </w:p>
    <w:p>
      <w:pPr>
        <w:spacing w:after="0"/>
        <w:ind w:left="0"/>
        <w:jc w:val="both"/>
      </w:pPr>
      <w:r>
        <w:drawing>
          <wp:inline distT="0" distB="0" distL="0" distR="0">
            <wp:extent cx="7810500" cy="577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5778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9" w:id="61"/>
    <w:p>
      <w:pPr>
        <w:spacing w:after="0"/>
        <w:ind w:left="0"/>
        <w:jc w:val="left"/>
      </w:pPr>
      <w:r>
        <w:rPr>
          <w:rFonts w:ascii="Times New Roman"/>
          <w:b/>
          <w:i w:val="false"/>
          <w:color w:val="000000"/>
        </w:rPr>
        <w:t xml:space="preserve"> Условные обозначения:</w:t>
      </w:r>
    </w:p>
    <w:bookmarkEnd w:id="61"/>
    <w:p>
      <w:pPr>
        <w:spacing w:after="0"/>
        <w:ind w:left="0"/>
        <w:jc w:val="left"/>
      </w:pPr>
      <w:r>
        <w:br/>
      </w:r>
    </w:p>
    <w:p>
      <w:pPr>
        <w:spacing w:after="0"/>
        <w:ind w:left="0"/>
        <w:jc w:val="both"/>
      </w:pPr>
      <w:r>
        <w:drawing>
          <wp:inline distT="0" distB="0" distL="0" distR="0">
            <wp:extent cx="7810500" cy="977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977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7 к Плану </w:t>
            </w:r>
            <w:r>
              <w:br/>
            </w:r>
            <w:r>
              <w:rPr>
                <w:rFonts w:ascii="Times New Roman"/>
                <w:b w:val="false"/>
                <w:i w:val="false"/>
                <w:color w:val="000000"/>
                <w:sz w:val="20"/>
              </w:rPr>
              <w:t xml:space="preserve">по управлению пастбищами и их </w:t>
            </w:r>
            <w:r>
              <w:br/>
            </w:r>
            <w:r>
              <w:rPr>
                <w:rFonts w:ascii="Times New Roman"/>
                <w:b w:val="false"/>
                <w:i w:val="false"/>
                <w:color w:val="000000"/>
                <w:sz w:val="20"/>
              </w:rPr>
              <w:t xml:space="preserve">использованию в Средигорненском </w:t>
            </w:r>
            <w:r>
              <w:br/>
            </w:r>
            <w:r>
              <w:rPr>
                <w:rFonts w:ascii="Times New Roman"/>
                <w:b w:val="false"/>
                <w:i w:val="false"/>
                <w:color w:val="000000"/>
                <w:sz w:val="20"/>
              </w:rPr>
              <w:t xml:space="preserve">сельском округе района Алтай </w:t>
            </w:r>
            <w:r>
              <w:br/>
            </w:r>
            <w:r>
              <w:rPr>
                <w:rFonts w:ascii="Times New Roman"/>
                <w:b w:val="false"/>
                <w:i w:val="false"/>
                <w:color w:val="000000"/>
                <w:sz w:val="20"/>
              </w:rPr>
              <w:t>на 2022-2023 годы</w:t>
            </w:r>
          </w:p>
        </w:tc>
      </w:tr>
    </w:tbl>
    <w:bookmarkStart w:name="z81" w:id="62"/>
    <w:p>
      <w:pPr>
        <w:spacing w:after="0"/>
        <w:ind w:left="0"/>
        <w:jc w:val="left"/>
      </w:pPr>
      <w:r>
        <w:rPr>
          <w:rFonts w:ascii="Times New Roman"/>
          <w:b/>
          <w:i w:val="false"/>
          <w:color w:val="000000"/>
        </w:rPr>
        <w:t xml:space="preserve"> Календарный график по использованию пастбищ, устанавливающий сезонные маршруты выпаса и передвижения сельскохозяйственных животных</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Сельский округ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выгона животных на отгонные пастбища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возврата животных с отгонных пастбищ</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Средигорненский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 - май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 - октябрь</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7-1 к Плану </w:t>
            </w:r>
            <w:r>
              <w:br/>
            </w:r>
            <w:r>
              <w:rPr>
                <w:rFonts w:ascii="Times New Roman"/>
                <w:b w:val="false"/>
                <w:i w:val="false"/>
                <w:color w:val="000000"/>
                <w:sz w:val="20"/>
              </w:rPr>
              <w:t xml:space="preserve">по управлению пастбищами и их </w:t>
            </w:r>
            <w:r>
              <w:br/>
            </w:r>
            <w:r>
              <w:rPr>
                <w:rFonts w:ascii="Times New Roman"/>
                <w:b w:val="false"/>
                <w:i w:val="false"/>
                <w:color w:val="000000"/>
                <w:sz w:val="20"/>
              </w:rPr>
              <w:t xml:space="preserve">использованию в Средигорненском </w:t>
            </w:r>
            <w:r>
              <w:br/>
            </w:r>
            <w:r>
              <w:rPr>
                <w:rFonts w:ascii="Times New Roman"/>
                <w:b w:val="false"/>
                <w:i w:val="false"/>
                <w:color w:val="000000"/>
                <w:sz w:val="20"/>
              </w:rPr>
              <w:t xml:space="preserve">сельском округе района Алтай </w:t>
            </w:r>
            <w:r>
              <w:br/>
            </w:r>
            <w:r>
              <w:rPr>
                <w:rFonts w:ascii="Times New Roman"/>
                <w:b w:val="false"/>
                <w:i w:val="false"/>
                <w:color w:val="000000"/>
                <w:sz w:val="20"/>
              </w:rPr>
              <w:t>на 2022-2023 годы</w:t>
            </w:r>
          </w:p>
        </w:tc>
      </w:tr>
    </w:tbl>
    <w:bookmarkStart w:name="z83" w:id="63"/>
    <w:p>
      <w:pPr>
        <w:spacing w:after="0"/>
        <w:ind w:left="0"/>
        <w:jc w:val="left"/>
      </w:pPr>
      <w:r>
        <w:rPr>
          <w:rFonts w:ascii="Times New Roman"/>
          <w:b/>
          <w:i w:val="false"/>
          <w:color w:val="000000"/>
        </w:rPr>
        <w:t xml:space="preserve"> Карта с обозначением внешних и внутренних границ и площадей пастбищ, необходимых для удовлетворения нужд населения для выпаса сельскохозяйственных животных личного подворья, в зависимости от местных условий и особенностей</w:t>
      </w:r>
    </w:p>
    <w:bookmarkEnd w:id="63"/>
    <w:p>
      <w:pPr>
        <w:spacing w:after="0"/>
        <w:ind w:left="0"/>
        <w:jc w:val="left"/>
      </w:pPr>
      <w:r>
        <w:br/>
      </w:r>
    </w:p>
    <w:p>
      <w:pPr>
        <w:spacing w:after="0"/>
        <w:ind w:left="0"/>
        <w:jc w:val="both"/>
      </w:pPr>
      <w:r>
        <w:drawing>
          <wp:inline distT="0" distB="0" distL="0" distR="0">
            <wp:extent cx="7810500" cy="6197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10500" cy="6197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4" w:id="64"/>
    <w:p>
      <w:pPr>
        <w:spacing w:after="0"/>
        <w:ind w:left="0"/>
        <w:jc w:val="left"/>
      </w:pPr>
      <w:r>
        <w:rPr>
          <w:rFonts w:ascii="Times New Roman"/>
          <w:b/>
          <w:i w:val="false"/>
          <w:color w:val="000000"/>
        </w:rPr>
        <w:t xml:space="preserve"> Условные обозначения:</w:t>
      </w:r>
    </w:p>
    <w:bookmarkEnd w:id="64"/>
    <w:p>
      <w:pPr>
        <w:spacing w:after="0"/>
        <w:ind w:left="0"/>
        <w:jc w:val="left"/>
      </w:pPr>
      <w:r>
        <w:br/>
      </w:r>
    </w:p>
    <w:p>
      <w:pPr>
        <w:spacing w:after="0"/>
        <w:ind w:left="0"/>
        <w:jc w:val="both"/>
      </w:pPr>
      <w:r>
        <w:drawing>
          <wp:inline distT="0" distB="0" distL="0" distR="0">
            <wp:extent cx="7023100" cy="156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023100" cy="156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