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f7f0" w14:textId="384f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3 декабря 2021 года № 489</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акимат Кокпектинского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Кокпектинского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Ж.Майкенева.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Кокпектинского района</w:t>
            </w:r>
            <w:r>
              <w:br/>
            </w:r>
            <w:r>
              <w:rPr>
                <w:rFonts w:ascii="Times New Roman"/>
                <w:b w:val="false"/>
                <w:i w:val="false"/>
                <w:color w:val="000000"/>
                <w:sz w:val="20"/>
              </w:rPr>
              <w:t>от 10 декабря 2021 года</w:t>
            </w:r>
            <w:r>
              <w:br/>
            </w:r>
            <w:r>
              <w:rPr>
                <w:rFonts w:ascii="Times New Roman"/>
                <w:b w:val="false"/>
                <w:i w:val="false"/>
                <w:color w:val="000000"/>
                <w:sz w:val="20"/>
              </w:rPr>
              <w:t>№ 489</w:t>
            </w:r>
          </w:p>
        </w:tc>
      </w:tr>
    </w:tbl>
    <w:bookmarkStart w:name="z8"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 Глава 1. Основные положения</w:t>
      </w:r>
    </w:p>
    <w:bookmarkEnd w:id="5"/>
    <w:bookmarkStart w:name="z9" w:id="6"/>
    <w:p>
      <w:pPr>
        <w:spacing w:after="0"/>
        <w:ind w:left="0"/>
        <w:jc w:val="both"/>
      </w:pPr>
      <w:r>
        <w:rPr>
          <w:rFonts w:ascii="Times New Roman"/>
          <w:b w:val="false"/>
          <w:i w:val="false"/>
          <w:color w:val="000000"/>
          <w:sz w:val="28"/>
        </w:rPr>
        <w:t>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6"/>
    <w:bookmarkStart w:name="z10" w:id="7"/>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7"/>
    <w:bookmarkStart w:name="z11" w:id="8"/>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8"/>
    <w:bookmarkStart w:name="z12" w:id="9"/>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9"/>
    <w:bookmarkStart w:name="z13" w:id="10"/>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0"/>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14" w:id="11"/>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1"/>
    <w:bookmarkStart w:name="z15" w:id="12"/>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2"/>
    <w:bookmarkStart w:name="z16" w:id="13"/>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17" w:id="14"/>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4"/>
    <w:bookmarkStart w:name="z18" w:id="15"/>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5"/>
    <w:bookmarkStart w:name="z19" w:id="16"/>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16"/>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0" w:id="1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Start w:name="z21" w:id="18"/>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18"/>
    <w:p>
      <w:pPr>
        <w:spacing w:after="0"/>
        <w:ind w:left="0"/>
        <w:jc w:val="both"/>
      </w:pPr>
      <w:r>
        <w:rPr>
          <w:rFonts w:ascii="Times New Roman"/>
          <w:b w:val="false"/>
          <w:i w:val="false"/>
          <w:color w:val="000000"/>
          <w:sz w:val="28"/>
        </w:rPr>
        <w:t>
      1) коэффициентурбанизации: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коэффициентдисперсностирасселения: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коэффициентсодержаниядорог: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2" w:id="1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19"/>
    <w:bookmarkStart w:name="z23" w:id="20"/>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20"/>
    <w:bookmarkStart w:name="z24" w:id="21"/>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2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Start w:name="z25" w:id="22"/>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22"/>
    <w:bookmarkStart w:name="z26" w:id="23"/>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7" w:id="24"/>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4"/>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правилу расчетов</w:t>
            </w:r>
            <w:r>
              <w:br/>
            </w:r>
            <w:r>
              <w:rPr>
                <w:rFonts w:ascii="Times New Roman"/>
                <w:b w:val="false"/>
                <w:i w:val="false"/>
                <w:color w:val="000000"/>
                <w:sz w:val="20"/>
              </w:rPr>
              <w:t>прогнозных объемов</w:t>
            </w:r>
            <w:r>
              <w:br/>
            </w:r>
            <w:r>
              <w:rPr>
                <w:rFonts w:ascii="Times New Roman"/>
                <w:b w:val="false"/>
                <w:i w:val="false"/>
                <w:color w:val="000000"/>
                <w:sz w:val="20"/>
              </w:rPr>
              <w:t>доходов и затрат</w:t>
            </w:r>
            <w:r>
              <w:br/>
            </w:r>
            <w:r>
              <w:rPr>
                <w:rFonts w:ascii="Times New Roman"/>
                <w:b w:val="false"/>
                <w:i w:val="false"/>
                <w:color w:val="000000"/>
                <w:sz w:val="20"/>
              </w:rPr>
              <w:t>бюджетов городов</w:t>
            </w:r>
            <w:r>
              <w:br/>
            </w:r>
            <w:r>
              <w:rPr>
                <w:rFonts w:ascii="Times New Roman"/>
                <w:b w:val="false"/>
                <w:i w:val="false"/>
                <w:color w:val="000000"/>
                <w:sz w:val="20"/>
              </w:rPr>
              <w:t>районного значения,</w:t>
            </w:r>
            <w:r>
              <w:br/>
            </w:r>
            <w:r>
              <w:rPr>
                <w:rFonts w:ascii="Times New Roman"/>
                <w:b w:val="false"/>
                <w:i w:val="false"/>
                <w:color w:val="000000"/>
                <w:sz w:val="20"/>
              </w:rPr>
              <w:t>сел, поселков, сельских</w:t>
            </w:r>
            <w:r>
              <w:br/>
            </w:r>
            <w:r>
              <w:rPr>
                <w:rFonts w:ascii="Times New Roman"/>
                <w:b w:val="false"/>
                <w:i w:val="false"/>
                <w:color w:val="000000"/>
                <w:sz w:val="20"/>
              </w:rPr>
              <w:t>округов</w:t>
            </w:r>
          </w:p>
        </w:tc>
      </w:tr>
    </w:tbl>
    <w:bookmarkStart w:name="z29" w:id="25"/>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3492"/>
        <w:gridCol w:w="5371"/>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Наименованиефункциональныхподгрупп</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Государственныеуслугиобщегохарактера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Численностьпостоянногонаселения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областикультуры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Численностьпостоянногонаселения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Информационноепространство</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