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ac02" w14:textId="316a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Бурлинском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21 сентября 2021 года № 294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Бурлинском районе Западно-Казахстанской области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 Ихсанова.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Бурлинского района</w:t>
            </w:r>
            <w:r>
              <w:br/>
            </w:r>
            <w:r>
              <w:rPr>
                <w:rFonts w:ascii="Times New Roman"/>
                <w:b w:val="false"/>
                <w:i w:val="false"/>
                <w:color w:val="000000"/>
                <w:sz w:val="20"/>
              </w:rPr>
              <w:t>от 21 сентября 2021 года № 294</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Бурлинском районе</w:t>
      </w:r>
      <w:r>
        <w:br/>
      </w:r>
      <w:r>
        <w:rPr>
          <w:rFonts w:ascii="Times New Roman"/>
          <w:b/>
          <w:i w:val="false"/>
          <w:color w:val="000000"/>
        </w:rPr>
        <w:t>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Бурлинском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5"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6"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7"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19"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0"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5"/>
    <w:bookmarkStart w:name="z21"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6"/>
    <w:bookmarkStart w:name="z22" w:id="17"/>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7"/>
    <w:bookmarkStart w:name="z23"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6"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3"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4"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5" w:id="3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7" w:id="32"/>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39"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0"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1"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2"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7"/>
    <w:bookmarkStart w:name="z43" w:id="3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4"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5" w:id="4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0"/>
    <w:bookmarkStart w:name="z46"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7"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8"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49"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0"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1"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2" w:id="4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3"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4"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5"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6"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7"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8"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9"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0"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1"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2"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3"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4"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5"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6"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7"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4"/>
    <w:bookmarkStart w:name="z70" w:id="65"/>
    <w:p>
      <w:pPr>
        <w:spacing w:after="0"/>
        <w:ind w:left="0"/>
        <w:jc w:val="both"/>
      </w:pPr>
      <w:r>
        <w:rPr>
          <w:rFonts w:ascii="Times New Roman"/>
          <w:b w:val="false"/>
          <w:i w:val="false"/>
          <w:color w:val="000000"/>
          <w:sz w:val="28"/>
        </w:rPr>
        <w:t>
      20. Потребитель:</w:t>
      </w:r>
    </w:p>
    <w:bookmarkEnd w:id="65"/>
    <w:bookmarkStart w:name="z71"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2"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3"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4"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5"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6"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7"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8"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79" w:id="74"/>
    <w:p>
      <w:pPr>
        <w:spacing w:after="0"/>
        <w:ind w:left="0"/>
        <w:jc w:val="both"/>
      </w:pPr>
      <w:r>
        <w:rPr>
          <w:rFonts w:ascii="Times New Roman"/>
          <w:b w:val="false"/>
          <w:i w:val="false"/>
          <w:color w:val="000000"/>
          <w:sz w:val="28"/>
        </w:rPr>
        <w:t>
      21. Поставщик:</w:t>
      </w:r>
    </w:p>
    <w:bookmarkEnd w:id="74"/>
    <w:bookmarkStart w:name="z80"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1"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2"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3"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4"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5"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0"/>
    <w:bookmarkStart w:name="z86"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7"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89"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0" w:id="85"/>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5"/>
    <w:bookmarkStart w:name="z91"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2" w:id="8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7"/>
    <w:bookmarkStart w:name="z93" w:id="88"/>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4"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9"/>
    <w:bookmarkStart w:name="z95"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0"/>
    <w:bookmarkStart w:name="z96"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7" w:id="9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8" w:id="9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99" w:id="9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4"/>
    <w:bookmarkStart w:name="z100"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1" w:id="9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2" w:id="9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3"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4"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5" w:id="10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0"/>
    <w:bookmarkStart w:name="z106"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7"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8"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09"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0"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1" w:id="106"/>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2" w:id="10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3"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4" w:id="10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9"/>
    <w:bookmarkStart w:name="z115"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6" w:id="111"/>
    <w:p>
      <w:pPr>
        <w:spacing w:after="0"/>
        <w:ind w:left="0"/>
        <w:jc w:val="left"/>
      </w:pPr>
      <w:r>
        <w:rPr>
          <w:rFonts w:ascii="Times New Roman"/>
          <w:b/>
          <w:i w:val="false"/>
          <w:color w:val="000000"/>
        </w:rPr>
        <w:t xml:space="preserve"> Глава 6. Заключительные положения</w:t>
      </w:r>
    </w:p>
    <w:bookmarkEnd w:id="111"/>
    <w:bookmarkStart w:name="z117" w:id="112"/>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2"/>
    <w:bookmarkStart w:name="z118" w:id="11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19"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